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139DB0" w14:textId="3595416E" w:rsidR="003572F2" w:rsidRDefault="003572F2" w:rsidP="00266F05">
      <w:pPr>
        <w:spacing w:before="45" w:after="15" w:line="276" w:lineRule="auto"/>
        <w:ind w:right="30"/>
        <w:jc w:val="both"/>
        <w:rPr>
          <w:rFonts w:ascii="Times New Roman" w:hAnsi="Times New Roman" w:cs="Times New Roman"/>
          <w:b/>
          <w:sz w:val="24"/>
          <w:szCs w:val="24"/>
        </w:rPr>
      </w:pPr>
    </w:p>
    <w:p w14:paraId="74A4404F" w14:textId="485B6938" w:rsidR="00370333" w:rsidRPr="0021529A" w:rsidRDefault="003572F2" w:rsidP="00370333">
      <w:pPr>
        <w:spacing w:after="0" w:line="276" w:lineRule="auto"/>
        <w:jc w:val="center"/>
        <w:rPr>
          <w:rFonts w:ascii="Calibri" w:eastAsia="Arial" w:hAnsi="Calibri" w:cs="Calibri"/>
          <w:b/>
          <w:lang w:val="es-ES_tradnl"/>
        </w:rPr>
      </w:pPr>
      <w:r w:rsidRPr="0021529A">
        <w:rPr>
          <w:rFonts w:ascii="Calibri" w:eastAsia="Arial" w:hAnsi="Calibri" w:cs="Calibri"/>
          <w:b/>
          <w:lang w:val="es-ES_tradnl"/>
        </w:rPr>
        <w:t>TEXTO APROBADO EN LA COMISIÓN PRIMERA DE LA HONORABLE CAMARA DE REPRESENTANTES EN PRIMER DEBATE</w:t>
      </w:r>
      <w:r w:rsidR="00370333" w:rsidRPr="0021529A">
        <w:rPr>
          <w:rFonts w:ascii="Calibri" w:eastAsia="Arial" w:hAnsi="Calibri" w:cs="Calibri"/>
          <w:b/>
          <w:lang w:val="es-ES_tradnl"/>
        </w:rPr>
        <w:t xml:space="preserve"> </w:t>
      </w:r>
      <w:r w:rsidR="007126A5" w:rsidRPr="0021529A">
        <w:rPr>
          <w:rFonts w:ascii="Calibri" w:eastAsia="Arial" w:hAnsi="Calibri" w:cs="Calibri"/>
          <w:b/>
          <w:lang w:val="es-ES_tradnl"/>
        </w:rPr>
        <w:t>PRIMERA VUELTA</w:t>
      </w:r>
    </w:p>
    <w:p w14:paraId="39DA840D" w14:textId="6B22F925" w:rsidR="00674456" w:rsidRPr="0021529A" w:rsidRDefault="00674456" w:rsidP="00674456">
      <w:pPr>
        <w:shd w:val="clear" w:color="auto" w:fill="FFFFFF"/>
        <w:jc w:val="center"/>
        <w:rPr>
          <w:rFonts w:ascii="Calibri" w:hAnsi="Calibri" w:cs="Calibri"/>
          <w:b/>
        </w:rPr>
      </w:pPr>
      <w:r w:rsidRPr="0021529A">
        <w:rPr>
          <w:rFonts w:ascii="Calibri" w:hAnsi="Calibri" w:cs="Calibri"/>
          <w:b/>
        </w:rPr>
        <w:t>AL PROYECTO DE ACTO LEGISLATIVO N</w:t>
      </w:r>
      <w:r w:rsidR="0021529A" w:rsidRPr="0021529A">
        <w:rPr>
          <w:rFonts w:ascii="Calibri" w:hAnsi="Calibri" w:cs="Calibri"/>
          <w:b/>
        </w:rPr>
        <w:t>o</w:t>
      </w:r>
      <w:r w:rsidRPr="0021529A">
        <w:rPr>
          <w:rFonts w:ascii="Calibri" w:hAnsi="Calibri" w:cs="Calibri"/>
          <w:b/>
        </w:rPr>
        <w:t>. 250 DE 2020 CÁMARA, ACUMULADO CON EL PROYECTO DE ACTO LEGISLATIVO N</w:t>
      </w:r>
      <w:r w:rsidR="0021529A" w:rsidRPr="0021529A">
        <w:rPr>
          <w:rFonts w:ascii="Calibri" w:hAnsi="Calibri" w:cs="Calibri"/>
          <w:b/>
        </w:rPr>
        <w:t>o</w:t>
      </w:r>
      <w:r w:rsidRPr="0021529A">
        <w:rPr>
          <w:rFonts w:ascii="Calibri" w:hAnsi="Calibri" w:cs="Calibri"/>
          <w:b/>
        </w:rPr>
        <w:t xml:space="preserve">. 145 DE 2020 CÁMARA “POR EL CUAL SE </w:t>
      </w:r>
      <w:r w:rsidR="00A256E7">
        <w:rPr>
          <w:rFonts w:ascii="Calibri" w:hAnsi="Calibri" w:cs="Calibri"/>
          <w:b/>
        </w:rPr>
        <w:t xml:space="preserve">IMPLEMENTA </w:t>
      </w:r>
      <w:r w:rsidRPr="0021529A">
        <w:rPr>
          <w:rFonts w:ascii="Calibri" w:hAnsi="Calibri" w:cs="Calibri"/>
          <w:b/>
        </w:rPr>
        <w:t>UNA REFORMA POLÍTICA Y SE DICTAN OTRAS DISPOSICIONES”</w:t>
      </w:r>
    </w:p>
    <w:p w14:paraId="0F08CC8E" w14:textId="77777777" w:rsidR="00674456" w:rsidRPr="0021529A" w:rsidRDefault="00674456" w:rsidP="00674456">
      <w:pPr>
        <w:jc w:val="both"/>
        <w:rPr>
          <w:rFonts w:ascii="Calibri" w:hAnsi="Calibri" w:cs="Calibri"/>
        </w:rPr>
      </w:pPr>
    </w:p>
    <w:p w14:paraId="5F9C114A" w14:textId="77777777" w:rsidR="00674456" w:rsidRPr="0021529A" w:rsidRDefault="00674456" w:rsidP="00674456">
      <w:pPr>
        <w:jc w:val="center"/>
        <w:rPr>
          <w:rFonts w:ascii="Calibri" w:hAnsi="Calibri" w:cs="Calibri"/>
          <w:b/>
        </w:rPr>
      </w:pPr>
      <w:r w:rsidRPr="0021529A">
        <w:rPr>
          <w:rFonts w:ascii="Calibri" w:hAnsi="Calibri" w:cs="Calibri"/>
          <w:b/>
        </w:rPr>
        <w:t>EL CONGRESO DE COLOMBIA</w:t>
      </w:r>
    </w:p>
    <w:p w14:paraId="01503C72" w14:textId="77777777" w:rsidR="00674456" w:rsidRPr="0021529A" w:rsidRDefault="00674456" w:rsidP="00674456">
      <w:pPr>
        <w:jc w:val="center"/>
        <w:rPr>
          <w:rFonts w:ascii="Calibri" w:hAnsi="Calibri" w:cs="Calibri"/>
          <w:b/>
        </w:rPr>
      </w:pPr>
    </w:p>
    <w:p w14:paraId="7E2B9EDA" w14:textId="77777777" w:rsidR="00674456" w:rsidRPr="0021529A" w:rsidRDefault="00674456" w:rsidP="00674456">
      <w:pPr>
        <w:jc w:val="center"/>
        <w:rPr>
          <w:rFonts w:ascii="Calibri" w:hAnsi="Calibri" w:cs="Calibri"/>
          <w:b/>
        </w:rPr>
      </w:pPr>
      <w:r w:rsidRPr="0021529A">
        <w:rPr>
          <w:rFonts w:ascii="Calibri" w:hAnsi="Calibri" w:cs="Calibri"/>
          <w:b/>
        </w:rPr>
        <w:t>DECRETA:</w:t>
      </w:r>
    </w:p>
    <w:p w14:paraId="6A7A0F4C" w14:textId="77777777" w:rsidR="00674456" w:rsidRDefault="00674456" w:rsidP="00674456"/>
    <w:p w14:paraId="67A9D6F6" w14:textId="3AF0C64A" w:rsidR="00674456" w:rsidRDefault="00674456" w:rsidP="00674456">
      <w:pPr>
        <w:spacing w:before="240" w:after="240" w:line="294" w:lineRule="auto"/>
        <w:jc w:val="both"/>
        <w:rPr>
          <w:sz w:val="20"/>
          <w:szCs w:val="20"/>
        </w:rPr>
      </w:pPr>
      <w:r>
        <w:rPr>
          <w:b/>
          <w:sz w:val="20"/>
          <w:szCs w:val="20"/>
        </w:rPr>
        <w:t>ARTÍCULO 1.</w:t>
      </w:r>
      <w:r>
        <w:rPr>
          <w:sz w:val="20"/>
          <w:szCs w:val="20"/>
        </w:rPr>
        <w:t xml:space="preserve"> Mod</w:t>
      </w:r>
      <w:r w:rsidR="008522C4">
        <w:rPr>
          <w:sz w:val="20"/>
          <w:szCs w:val="20"/>
        </w:rPr>
        <w:t>i</w:t>
      </w:r>
      <w:r>
        <w:rPr>
          <w:sz w:val="20"/>
          <w:szCs w:val="20"/>
        </w:rPr>
        <w:t>f</w:t>
      </w:r>
      <w:r w:rsidR="008522C4">
        <w:rPr>
          <w:sz w:val="20"/>
          <w:szCs w:val="20"/>
        </w:rPr>
        <w:t>í</w:t>
      </w:r>
      <w:r>
        <w:rPr>
          <w:sz w:val="20"/>
          <w:szCs w:val="20"/>
        </w:rPr>
        <w:t>quese el artículo 107 de la Constitución Política, el cual quedará así:</w:t>
      </w:r>
    </w:p>
    <w:p w14:paraId="79A87AF9" w14:textId="77777777" w:rsidR="00674456" w:rsidRDefault="00674456" w:rsidP="00674456">
      <w:pPr>
        <w:spacing w:before="240" w:after="240" w:line="294" w:lineRule="auto"/>
        <w:jc w:val="both"/>
        <w:rPr>
          <w:sz w:val="20"/>
          <w:szCs w:val="20"/>
        </w:rPr>
      </w:pPr>
      <w:r>
        <w:rPr>
          <w:b/>
          <w:sz w:val="20"/>
          <w:szCs w:val="20"/>
        </w:rPr>
        <w:t>ARTICULO 107</w:t>
      </w:r>
      <w:r>
        <w:rPr>
          <w:sz w:val="20"/>
          <w:szCs w:val="20"/>
        </w:rPr>
        <w:t>. Se garantiza a todos los ciudadanos el derecho a fundar, organizar y desarrollar partidos y movimientos políticos, y la libertad de afiliarse a ellos o de retirarse.</w:t>
      </w:r>
    </w:p>
    <w:p w14:paraId="4F8299F8" w14:textId="5F94F9FA" w:rsidR="00674456" w:rsidRDefault="00674456" w:rsidP="00674456">
      <w:pPr>
        <w:spacing w:before="240" w:after="240" w:line="294" w:lineRule="auto"/>
        <w:jc w:val="both"/>
        <w:rPr>
          <w:sz w:val="20"/>
          <w:szCs w:val="20"/>
        </w:rPr>
      </w:pPr>
      <w:r>
        <w:rPr>
          <w:sz w:val="20"/>
          <w:szCs w:val="20"/>
        </w:rPr>
        <w:t>En ningún caso se permitirá a los ciudadanos pertenecer simultáneamente a más de un partido o movimiento político con personería jurídica.</w:t>
      </w:r>
      <w:r w:rsidR="005F7247">
        <w:rPr>
          <w:sz w:val="20"/>
          <w:szCs w:val="20"/>
        </w:rPr>
        <w:t xml:space="preserve"> Para ello, se adoptará </w:t>
      </w:r>
      <w:r w:rsidR="00A3364D">
        <w:rPr>
          <w:sz w:val="20"/>
          <w:szCs w:val="20"/>
        </w:rPr>
        <w:t>la Tarjeta de Identidad Política, como un documento de identificación política, la cual será expedida y estará adscrita a un partido o movimiento político, coadyuvando al ejercicio de la democracia interna, la prevención de la doble militancia y la creación y validación de un Registro Único de Militantes de Partidos y Movimientos Políticos.</w:t>
      </w:r>
    </w:p>
    <w:p w14:paraId="60598E24" w14:textId="77777777" w:rsidR="00674456" w:rsidRDefault="00674456" w:rsidP="00674456">
      <w:pPr>
        <w:spacing w:before="240" w:after="240" w:line="294" w:lineRule="auto"/>
        <w:jc w:val="both"/>
        <w:rPr>
          <w:sz w:val="20"/>
          <w:szCs w:val="20"/>
        </w:rPr>
      </w:pPr>
      <w:r>
        <w:rPr>
          <w:sz w:val="20"/>
          <w:szCs w:val="20"/>
        </w:rPr>
        <w:t>Los Partidos y Movimientos Políticos se organizarán democráticamente y tendrán como principios rectores la transparencia, objetividad, moralidad, la equidad de género, y el deber de presentar y divulgar sus programas políticos.</w:t>
      </w:r>
    </w:p>
    <w:p w14:paraId="66AEED1E" w14:textId="5710396C" w:rsidR="00674456" w:rsidRPr="005F7247" w:rsidRDefault="00674456" w:rsidP="00674456">
      <w:pPr>
        <w:spacing w:before="240" w:after="240" w:line="294" w:lineRule="auto"/>
        <w:jc w:val="both"/>
        <w:rPr>
          <w:sz w:val="20"/>
          <w:szCs w:val="20"/>
        </w:rPr>
      </w:pPr>
      <w:r w:rsidRPr="005F7247">
        <w:rPr>
          <w:sz w:val="20"/>
          <w:szCs w:val="20"/>
        </w:rPr>
        <w:t>Los Partidos y Movimientos Políticos deberán elegir democráticamente a sus candidatos a cargos de elección popular y directivos, mediante los procedimientos que determine la Ley sobre la materia</w:t>
      </w:r>
      <w:r w:rsidR="005F7247" w:rsidRPr="005F7247">
        <w:rPr>
          <w:sz w:val="20"/>
          <w:szCs w:val="20"/>
        </w:rPr>
        <w:t>, los cuales deberán garantizar el cumplimiento del principio de paridad.</w:t>
      </w:r>
      <w:r w:rsidRPr="005F7247">
        <w:rPr>
          <w:sz w:val="20"/>
          <w:szCs w:val="20"/>
        </w:rPr>
        <w:t xml:space="preserve"> </w:t>
      </w:r>
    </w:p>
    <w:p w14:paraId="5FCB8345" w14:textId="77777777" w:rsidR="00674456" w:rsidRDefault="00674456" w:rsidP="00674456">
      <w:pPr>
        <w:spacing w:before="240" w:after="240" w:line="294" w:lineRule="auto"/>
        <w:jc w:val="both"/>
        <w:rPr>
          <w:sz w:val="20"/>
          <w:szCs w:val="20"/>
        </w:rPr>
      </w:pPr>
      <w:r>
        <w:rPr>
          <w:sz w:val="20"/>
          <w:szCs w:val="20"/>
        </w:rPr>
        <w:t xml:space="preserve">Para la toma de sus decisiones o la escogencia de sus candidatos propios o por coalición, </w:t>
      </w:r>
      <w:r w:rsidRPr="00A3364D">
        <w:rPr>
          <w:sz w:val="20"/>
          <w:szCs w:val="20"/>
        </w:rPr>
        <w:t>los partidos y movimientos políticos</w:t>
      </w:r>
      <w:r>
        <w:rPr>
          <w:sz w:val="20"/>
          <w:szCs w:val="20"/>
        </w:rPr>
        <w:t xml:space="preserve"> podrán celebrar consultas populares o internas o interpartidistas</w:t>
      </w:r>
      <w:r>
        <w:rPr>
          <w:sz w:val="20"/>
          <w:szCs w:val="20"/>
          <w:u w:val="single"/>
        </w:rPr>
        <w:t>,</w:t>
      </w:r>
      <w:r>
        <w:rPr>
          <w:sz w:val="20"/>
          <w:szCs w:val="20"/>
        </w:rPr>
        <w:t xml:space="preserve"> que coincidan o no con las elecciones a Corporaciones Públicas, de acuerdo con lo previsto en sus Estatutos y en la ley.</w:t>
      </w:r>
    </w:p>
    <w:p w14:paraId="1D77D312" w14:textId="77777777" w:rsidR="00674456" w:rsidRDefault="00674456" w:rsidP="00674456">
      <w:pPr>
        <w:spacing w:before="240" w:after="240" w:line="294" w:lineRule="auto"/>
        <w:jc w:val="both"/>
        <w:rPr>
          <w:sz w:val="20"/>
          <w:szCs w:val="20"/>
        </w:rPr>
      </w:pPr>
      <w:r>
        <w:rPr>
          <w:sz w:val="20"/>
          <w:szCs w:val="20"/>
        </w:rPr>
        <w:t>En el caso de las consultas populares se aplicarán las normas sobre financiación y publicidad de campañas y acceso a los medios de comunicación del Estado, que rigen para las elecciones ordinarias. Quien participe en las consultas de un partido o movimiento político o en consultas interpartidistas, no podrá inscribirse por otro en el mismo proceso electoral. El resultado de las consultas será obligatorio.</w:t>
      </w:r>
    </w:p>
    <w:p w14:paraId="18E92DB0" w14:textId="77777777" w:rsidR="00674456" w:rsidRDefault="00674456" w:rsidP="00674456">
      <w:pPr>
        <w:spacing w:before="240" w:after="240" w:line="294" w:lineRule="auto"/>
        <w:jc w:val="both"/>
        <w:rPr>
          <w:sz w:val="20"/>
          <w:szCs w:val="20"/>
        </w:rPr>
      </w:pPr>
      <w:r>
        <w:rPr>
          <w:sz w:val="20"/>
          <w:szCs w:val="20"/>
        </w:rPr>
        <w:lastRenderedPageBreak/>
        <w:t>Los directivos de los Partidos y Movimientos Políticos deberán propiciar procesos de democratización interna y el fortalecimiento del régimen de bancadas.</w:t>
      </w:r>
    </w:p>
    <w:p w14:paraId="6D2A3515" w14:textId="1E0BDE93" w:rsidR="00674456" w:rsidRDefault="00674456" w:rsidP="00674456">
      <w:pPr>
        <w:spacing w:before="240" w:after="240" w:line="294" w:lineRule="auto"/>
        <w:jc w:val="both"/>
        <w:rPr>
          <w:sz w:val="20"/>
          <w:szCs w:val="20"/>
        </w:rPr>
      </w:pPr>
      <w:r>
        <w:rPr>
          <w:sz w:val="20"/>
          <w:szCs w:val="20"/>
        </w:rPr>
        <w:t xml:space="preserve">Los Partidos y Movimientos Políticos deberán responder por toda violación o contravención a las normas que rigen su organización, funcionamiento o financiación, así como también por avalar candidatos elegidos en cargos o Corporaciones Públicas de elección popular, quienes hayan sido o fueren condenados durante el ejercicio del cargo al cual se avaló mediante sentencia ejecutoriada en Colombia o en el exterior por delitos relacionados con la vinculación a grupos armados ilegales y actividades del narcotráfico o de delitos contra </w:t>
      </w:r>
      <w:r w:rsidR="005F7247">
        <w:rPr>
          <w:sz w:val="20"/>
          <w:szCs w:val="20"/>
        </w:rPr>
        <w:t xml:space="preserve">la administración pública y patrimonio del estado, delitos contra </w:t>
      </w:r>
      <w:r>
        <w:rPr>
          <w:sz w:val="20"/>
          <w:szCs w:val="20"/>
        </w:rPr>
        <w:t>los mecanismos de participación democrática o de lesa humanidad</w:t>
      </w:r>
      <w:r w:rsidR="00A3364D">
        <w:rPr>
          <w:sz w:val="20"/>
          <w:szCs w:val="20"/>
        </w:rPr>
        <w:t>.</w:t>
      </w:r>
    </w:p>
    <w:p w14:paraId="074357D9" w14:textId="77777777" w:rsidR="00674456" w:rsidRPr="00A3364D" w:rsidRDefault="00674456" w:rsidP="00674456">
      <w:pPr>
        <w:spacing w:before="240" w:after="240" w:line="294" w:lineRule="auto"/>
        <w:jc w:val="both"/>
        <w:rPr>
          <w:sz w:val="20"/>
          <w:szCs w:val="20"/>
        </w:rPr>
      </w:pPr>
      <w:r>
        <w:rPr>
          <w:sz w:val="20"/>
          <w:szCs w:val="20"/>
        </w:rPr>
        <w:t xml:space="preserve">Los partidos o movimientos políticos también responderán por avalar a candidatos no elegidos para cargos o Corporaciones Públicas de Elección Popular, si estos hubieran sido o fueren condenados durante el período del cargo público al cual se candidatizó, mediante sentencia ejecutoriada en Colombia o en el exterior por delitos relacionados con la vinculación a grupos armados ilegales y actividades del narcotráfico, </w:t>
      </w:r>
      <w:r w:rsidRPr="00A3364D">
        <w:rPr>
          <w:sz w:val="20"/>
          <w:szCs w:val="20"/>
        </w:rPr>
        <w:t>o delitos contra la administración pública y patrimonio del Estado, los mecanismos de participación democrática o de lesa humanidad cometidos con anterioridad a la expedición del aval correspondiente.</w:t>
      </w:r>
    </w:p>
    <w:p w14:paraId="3D8DE4FE" w14:textId="77777777" w:rsidR="00674456" w:rsidRDefault="00674456" w:rsidP="00674456">
      <w:pPr>
        <w:spacing w:before="240" w:after="240" w:line="294" w:lineRule="auto"/>
        <w:jc w:val="both"/>
        <w:rPr>
          <w:sz w:val="20"/>
          <w:szCs w:val="20"/>
        </w:rPr>
      </w:pPr>
      <w:r>
        <w:rPr>
          <w:sz w:val="20"/>
          <w:szCs w:val="20"/>
        </w:rPr>
        <w:t>Las sanciones podrán consistir en multas, devolución de los recursos públicos percibidos mediante el sistema de reposición de votos, hasta la cancelación de la personería jurídica. Cuando se trate de estas condenas a quienes fueron electos para cargos uninominales, el partido o movimiento que avaló al condenado, no podrá presentar candidatos para las siguientes elecciones en esa Circunscripción. Si faltan menos de 18 meses para las siguientes elecciones, no podrán presentar terna, caso en el cual, el nominador podrá libremente designar el reemplazo.</w:t>
      </w:r>
    </w:p>
    <w:p w14:paraId="0796B0DB" w14:textId="77777777" w:rsidR="00674456" w:rsidRDefault="00674456" w:rsidP="00674456">
      <w:pPr>
        <w:spacing w:before="240" w:after="240" w:line="294" w:lineRule="auto"/>
        <w:jc w:val="both"/>
        <w:rPr>
          <w:sz w:val="20"/>
          <w:szCs w:val="20"/>
        </w:rPr>
      </w:pPr>
      <w:r>
        <w:rPr>
          <w:sz w:val="20"/>
          <w:szCs w:val="20"/>
        </w:rPr>
        <w:t>Los directivos de los partidos a quienes se demuestre que no han procedido con el debido cuidado y diligencia en el ejercicio de los derechos y obligaciones que les confiere Personería Jurídica también estarán sujetos a las sanciones que determine la ley.</w:t>
      </w:r>
    </w:p>
    <w:p w14:paraId="3B0B6719" w14:textId="77777777" w:rsidR="00674456" w:rsidRDefault="00674456" w:rsidP="00674456">
      <w:pPr>
        <w:spacing w:before="240" w:after="240" w:line="294" w:lineRule="auto"/>
        <w:jc w:val="both"/>
        <w:rPr>
          <w:sz w:val="20"/>
          <w:szCs w:val="20"/>
        </w:rPr>
      </w:pPr>
      <w:r>
        <w:rPr>
          <w:sz w:val="20"/>
          <w:szCs w:val="20"/>
        </w:rPr>
        <w:t>También se garantiza a las organizaciones sociales el derecho a manifestarse y a participar en eventos políticos.</w:t>
      </w:r>
    </w:p>
    <w:p w14:paraId="3F7F03FF" w14:textId="77777777" w:rsidR="00674456" w:rsidRDefault="00674456" w:rsidP="00674456">
      <w:pPr>
        <w:spacing w:before="240" w:after="240" w:line="294" w:lineRule="auto"/>
        <w:jc w:val="both"/>
        <w:rPr>
          <w:sz w:val="20"/>
          <w:szCs w:val="20"/>
        </w:rPr>
      </w:pPr>
      <w:r>
        <w:rPr>
          <w:sz w:val="20"/>
          <w:szCs w:val="20"/>
        </w:rPr>
        <w:t>Quien siendo miembro de una corporación pública decida presentarse a la siguiente elección, por un partido distinto, deberá renunciar a la curul al menos doce (12) meses antes del primer día de inscripciones.</w:t>
      </w:r>
    </w:p>
    <w:p w14:paraId="2BBB4DD1" w14:textId="77777777" w:rsidR="00674456" w:rsidRPr="005A0005" w:rsidRDefault="00674456" w:rsidP="00674456">
      <w:pPr>
        <w:spacing w:before="240" w:after="240" w:line="294" w:lineRule="auto"/>
        <w:jc w:val="both"/>
        <w:rPr>
          <w:sz w:val="20"/>
          <w:szCs w:val="20"/>
        </w:rPr>
      </w:pPr>
      <w:r w:rsidRPr="005A0005">
        <w:rPr>
          <w:b/>
          <w:sz w:val="20"/>
          <w:szCs w:val="20"/>
        </w:rPr>
        <w:t>PARÁGRAFO TRANSITORIO.</w:t>
      </w:r>
      <w:r w:rsidRPr="005A0005">
        <w:rPr>
          <w:sz w:val="20"/>
          <w:szCs w:val="20"/>
        </w:rPr>
        <w:t> El Gobierno Nacional presentará a más tardar el 20 de julio de 2021, uno o más proyectos de ley que determinen y reglamenten los procedimientos de escogencia democrática de candidatos a cargos de elección popular, así como los demás asuntos que requieran reglamentación de los demás artículos de este Acto Legislativo.</w:t>
      </w:r>
    </w:p>
    <w:p w14:paraId="15615457" w14:textId="59650AE7" w:rsidR="00674456" w:rsidRDefault="00674456" w:rsidP="00674456">
      <w:pPr>
        <w:spacing w:before="240" w:after="240" w:line="294" w:lineRule="auto"/>
        <w:jc w:val="both"/>
        <w:rPr>
          <w:sz w:val="20"/>
          <w:szCs w:val="20"/>
        </w:rPr>
      </w:pPr>
      <w:bookmarkStart w:id="0" w:name="_Hlk52970227"/>
      <w:r>
        <w:rPr>
          <w:b/>
          <w:sz w:val="20"/>
          <w:szCs w:val="20"/>
        </w:rPr>
        <w:t>ARTÍCULO 2.</w:t>
      </w:r>
      <w:r>
        <w:rPr>
          <w:sz w:val="20"/>
          <w:szCs w:val="20"/>
        </w:rPr>
        <w:t xml:space="preserve"> Mo</w:t>
      </w:r>
      <w:r w:rsidR="00A3364D">
        <w:rPr>
          <w:sz w:val="20"/>
          <w:szCs w:val="20"/>
        </w:rPr>
        <w:t>di</w:t>
      </w:r>
      <w:r>
        <w:rPr>
          <w:sz w:val="20"/>
          <w:szCs w:val="20"/>
        </w:rPr>
        <w:t>f</w:t>
      </w:r>
      <w:r w:rsidR="00A3364D">
        <w:rPr>
          <w:sz w:val="20"/>
          <w:szCs w:val="20"/>
        </w:rPr>
        <w:t>í</w:t>
      </w:r>
      <w:r>
        <w:rPr>
          <w:sz w:val="20"/>
          <w:szCs w:val="20"/>
        </w:rPr>
        <w:t>quese el artículo 262 de la Consti</w:t>
      </w:r>
      <w:r w:rsidR="00A3364D">
        <w:rPr>
          <w:sz w:val="20"/>
          <w:szCs w:val="20"/>
        </w:rPr>
        <w:t>t</w:t>
      </w:r>
      <w:r>
        <w:rPr>
          <w:sz w:val="20"/>
          <w:szCs w:val="20"/>
        </w:rPr>
        <w:t>ución Política, el cual quedará así:</w:t>
      </w:r>
    </w:p>
    <w:p w14:paraId="51ED50E4" w14:textId="77777777" w:rsidR="00674456" w:rsidRDefault="00674456" w:rsidP="00674456">
      <w:pPr>
        <w:spacing w:before="240" w:after="240" w:line="294" w:lineRule="auto"/>
        <w:jc w:val="both"/>
        <w:rPr>
          <w:sz w:val="20"/>
          <w:szCs w:val="20"/>
        </w:rPr>
      </w:pPr>
      <w:r>
        <w:rPr>
          <w:b/>
          <w:sz w:val="20"/>
          <w:szCs w:val="20"/>
        </w:rPr>
        <w:lastRenderedPageBreak/>
        <w:t>ARTÍCULO 262</w:t>
      </w:r>
      <w:r>
        <w:rPr>
          <w:sz w:val="20"/>
          <w:szCs w:val="20"/>
        </w:rPr>
        <w:t xml:space="preserve">. Los partidos, movimientos políticos y grupos significativos de ciudadanos que decidan </w:t>
      </w:r>
      <w:bookmarkEnd w:id="0"/>
      <w:r>
        <w:rPr>
          <w:sz w:val="20"/>
          <w:szCs w:val="20"/>
        </w:rPr>
        <w:t>participar en procesos de elección popular, inscribirán candidatos y listas únicas, cuyo número de integrantes no podrá exceder el de curules o cargos a proveer en la respectiva circunscripción, excepto en las que se eligen hasta dos miembros, las cuales podrán estar integradas hasta por tres (3) candidatos.</w:t>
      </w:r>
    </w:p>
    <w:p w14:paraId="42979B96" w14:textId="77777777" w:rsidR="002A16FF" w:rsidRDefault="00674456" w:rsidP="00674456">
      <w:pPr>
        <w:spacing w:before="240" w:after="240" w:line="294" w:lineRule="auto"/>
        <w:jc w:val="both"/>
        <w:rPr>
          <w:sz w:val="20"/>
          <w:szCs w:val="20"/>
        </w:rPr>
      </w:pPr>
      <w:r>
        <w:rPr>
          <w:sz w:val="20"/>
          <w:szCs w:val="20"/>
        </w:rPr>
        <w:t>La selección de los candidatos de los partidos y movimientos políticos con personería jurídica se hará mediante mecanismos de democracia interna, de conformidad con la ley y los estatutos. En la conformación de las listas se observarán en forma progresiva, entre otros, los principios de paridad, alternancia y universalidad, según lo determine la ley.</w:t>
      </w:r>
    </w:p>
    <w:p w14:paraId="2DDD6E4B" w14:textId="4D389625" w:rsidR="00674456" w:rsidRPr="002A16FF" w:rsidRDefault="00674456" w:rsidP="00674456">
      <w:pPr>
        <w:spacing w:before="240" w:after="240" w:line="294" w:lineRule="auto"/>
        <w:jc w:val="both"/>
        <w:rPr>
          <w:sz w:val="20"/>
          <w:szCs w:val="20"/>
        </w:rPr>
      </w:pPr>
      <w:r w:rsidRPr="00674456">
        <w:rPr>
          <w:sz w:val="20"/>
          <w:szCs w:val="20"/>
        </w:rPr>
        <w:t xml:space="preserve">Hasta el año 2022, cada partido, o movimiento político o grupo significativo de ciudadanos podrá optar por el mecanismo de voto preferente. </w:t>
      </w:r>
      <w:r>
        <w:rPr>
          <w:sz w:val="20"/>
          <w:szCs w:val="20"/>
        </w:rPr>
        <w:t>En tal caso, el elector podrá señalar el candidato de su preferencia entre los nombres de la lista que aparezcan en la tarjeta electoral. La lista se reordenará de acuerdo con la cantidad de votos obtenidos por cada uno de los candidatos. La asignación de curules entre los miembros de la respectiva lista se hará en orden descendente empezando por el candidato que haya obtenido el mayor número de votos preferentes.</w:t>
      </w:r>
    </w:p>
    <w:p w14:paraId="22DD03CC" w14:textId="416DBA01" w:rsidR="00674456" w:rsidRDefault="00674456" w:rsidP="00674456">
      <w:pPr>
        <w:spacing w:before="240" w:after="240" w:line="294" w:lineRule="auto"/>
        <w:jc w:val="both"/>
        <w:rPr>
          <w:sz w:val="20"/>
          <w:szCs w:val="20"/>
        </w:rPr>
      </w:pPr>
      <w:r>
        <w:rPr>
          <w:sz w:val="20"/>
          <w:szCs w:val="20"/>
        </w:rPr>
        <w:t>En el caso de los partidos y movimientos políticos que hayan optado por el mecanismo del voto preferente, los votos por el partido o movimiento que no hayan sido atribuidos por el elector a ningún candidato en</w:t>
      </w:r>
      <w:r w:rsidR="00A34192">
        <w:rPr>
          <w:sz w:val="20"/>
          <w:szCs w:val="20"/>
        </w:rPr>
        <w:t xml:space="preserve"> </w:t>
      </w:r>
      <w:r>
        <w:rPr>
          <w:sz w:val="20"/>
          <w:szCs w:val="20"/>
        </w:rPr>
        <w:t>particular, se contabilizarán a favor de la respectiva lista para efectos de la aplicación de las normas sobre el umbral y la cifra repartidora, pero no se computarán para la reordenación de la lista. Cuando el elector vote simultáneamente por el partido o movimiento político y por el candidato de su preferencia dentro de la respectiva lista, el voto será válido y se computará a favor del candidato.</w:t>
      </w:r>
    </w:p>
    <w:p w14:paraId="13E766B4" w14:textId="23CD6B3A" w:rsidR="00674456" w:rsidRPr="00674456" w:rsidRDefault="00674456" w:rsidP="00674456">
      <w:pPr>
        <w:spacing w:before="240" w:after="240" w:line="294" w:lineRule="auto"/>
        <w:jc w:val="both"/>
        <w:rPr>
          <w:sz w:val="20"/>
          <w:szCs w:val="20"/>
        </w:rPr>
      </w:pPr>
      <w:r w:rsidRPr="00674456">
        <w:rPr>
          <w:sz w:val="20"/>
          <w:szCs w:val="20"/>
        </w:rPr>
        <w:t xml:space="preserve">A partir del año 2023, cada partido, movimiento político o grupo significativo de ciudadanos presentará únicamente listas cerradas y bloqueadas a las corporaciones públicas, conformadas de manera intercalada entre mujer y hombre u hombre y mujer. </w:t>
      </w:r>
      <w:r w:rsidR="0020236F">
        <w:rPr>
          <w:sz w:val="20"/>
          <w:szCs w:val="20"/>
        </w:rPr>
        <w:t>También podrán presentar listas de solo mujeres.</w:t>
      </w:r>
    </w:p>
    <w:p w14:paraId="2F5BC6B5" w14:textId="3772578C" w:rsidR="00674456" w:rsidRDefault="00674456" w:rsidP="00674456">
      <w:pPr>
        <w:spacing w:before="240" w:after="240" w:line="294" w:lineRule="auto"/>
        <w:jc w:val="both"/>
        <w:rPr>
          <w:sz w:val="20"/>
          <w:szCs w:val="20"/>
        </w:rPr>
      </w:pPr>
      <w:r>
        <w:rPr>
          <w:sz w:val="20"/>
          <w:szCs w:val="20"/>
        </w:rPr>
        <w:t xml:space="preserve">La ley regulará la financiación preponderantemente estatal de las campañas, los mecanismos de democracia interna de los partidos, la inscripción de candidatos y listas propias o de coalición a cargos uninominales o a corporaciones públicas, la administración de recursos y la protección de los derechos de los aspirantes. Los partidos y movimientos políticos con personería jurídica que sumados hayan obtenido una votación de hasta el </w:t>
      </w:r>
      <w:r w:rsidR="002A16FF">
        <w:rPr>
          <w:sz w:val="20"/>
          <w:szCs w:val="20"/>
        </w:rPr>
        <w:t>treinta</w:t>
      </w:r>
      <w:r>
        <w:rPr>
          <w:sz w:val="20"/>
          <w:szCs w:val="20"/>
        </w:rPr>
        <w:t xml:space="preserve"> por ciento (</w:t>
      </w:r>
      <w:r w:rsidR="002A16FF">
        <w:rPr>
          <w:sz w:val="20"/>
          <w:szCs w:val="20"/>
        </w:rPr>
        <w:t>30</w:t>
      </w:r>
      <w:r>
        <w:rPr>
          <w:sz w:val="20"/>
          <w:szCs w:val="20"/>
        </w:rPr>
        <w:t>%) de los votos válidos de la respectiva circunscripción, podrán presentar lista de candidatos en coalición para corporaciones públicas.</w:t>
      </w:r>
    </w:p>
    <w:p w14:paraId="6EE2D3E2" w14:textId="77777777" w:rsidR="00674456" w:rsidRPr="00674456" w:rsidRDefault="00674456" w:rsidP="00674456">
      <w:pPr>
        <w:jc w:val="both"/>
      </w:pPr>
      <w:r w:rsidRPr="00674456">
        <w:rPr>
          <w:b/>
          <w:sz w:val="20"/>
          <w:szCs w:val="20"/>
        </w:rPr>
        <w:t>PARÁGRAFO TRANSITORIO 1º:</w:t>
      </w:r>
      <w:r w:rsidRPr="00674456">
        <w:rPr>
          <w:sz w:val="20"/>
          <w:szCs w:val="20"/>
        </w:rPr>
        <w:t xml:space="preserve"> Durante la vigencia fiscal 2023, los partidos y movimientos políticos cuyas listas a corporaciones públicas en las elecciones del año 2022 hayan sido en su totalidad cerradas y bloqueadas e intercaladas entre mujer y hombre u hombre y mujer, recibirán el doble de la financiación estatal que les habría correspondido normalmente durante el año siguiente a la elección.</w:t>
      </w:r>
    </w:p>
    <w:p w14:paraId="0EE785E8" w14:textId="77777777" w:rsidR="00674456" w:rsidRDefault="00674456" w:rsidP="00674456">
      <w:pPr>
        <w:jc w:val="both"/>
      </w:pPr>
    </w:p>
    <w:p w14:paraId="6308D20C" w14:textId="77777777" w:rsidR="00674456" w:rsidRDefault="00674456" w:rsidP="00674456">
      <w:pPr>
        <w:jc w:val="both"/>
      </w:pPr>
    </w:p>
    <w:p w14:paraId="394228E5" w14:textId="616FD2FE" w:rsidR="00066A9D" w:rsidRDefault="00066A9D" w:rsidP="00066A9D">
      <w:pPr>
        <w:spacing w:before="240" w:after="240" w:line="294" w:lineRule="auto"/>
        <w:jc w:val="both"/>
        <w:rPr>
          <w:sz w:val="20"/>
          <w:szCs w:val="20"/>
        </w:rPr>
      </w:pPr>
      <w:r>
        <w:rPr>
          <w:b/>
          <w:sz w:val="20"/>
          <w:szCs w:val="20"/>
        </w:rPr>
        <w:lastRenderedPageBreak/>
        <w:t>ARTÍCULO 3.</w:t>
      </w:r>
      <w:r>
        <w:rPr>
          <w:sz w:val="20"/>
          <w:szCs w:val="20"/>
        </w:rPr>
        <w:t xml:space="preserve"> Adiciónese el Inciso 6° y un parágrafo transitorio al artículo 171 de la Constitución Política, el cual quedará así:</w:t>
      </w:r>
    </w:p>
    <w:p w14:paraId="1CF58F25" w14:textId="477C79B0" w:rsidR="00066A9D" w:rsidRDefault="00066A9D" w:rsidP="00066A9D">
      <w:pPr>
        <w:spacing w:before="240" w:after="240" w:line="294" w:lineRule="auto"/>
        <w:jc w:val="both"/>
        <w:rPr>
          <w:sz w:val="20"/>
          <w:szCs w:val="20"/>
        </w:rPr>
      </w:pPr>
      <w:r>
        <w:rPr>
          <w:sz w:val="20"/>
          <w:szCs w:val="20"/>
        </w:rPr>
        <w:t xml:space="preserve">Habrá un </w:t>
      </w:r>
      <w:r w:rsidR="00B14CEC">
        <w:rPr>
          <w:sz w:val="20"/>
          <w:szCs w:val="20"/>
        </w:rPr>
        <w:t>S</w:t>
      </w:r>
      <w:r>
        <w:rPr>
          <w:sz w:val="20"/>
          <w:szCs w:val="20"/>
        </w:rPr>
        <w:t xml:space="preserve">enador adicional por cada una de las circunscripciones </w:t>
      </w:r>
      <w:r w:rsidR="00B14CEC">
        <w:rPr>
          <w:sz w:val="20"/>
          <w:szCs w:val="20"/>
        </w:rPr>
        <w:t>territoriales que cuenten con solo dos Representantes a la Cámara. Los candidatos que sean elegidos por esta circunscripción especial deberán ser oriundos de los respectivos departamentos o haber residido en ellos al menos durante los dos años anteriores a la elección.</w:t>
      </w:r>
    </w:p>
    <w:p w14:paraId="7E55D5FF" w14:textId="598D7785" w:rsidR="00066A9D" w:rsidRPr="00B14CEC" w:rsidRDefault="00B14CEC" w:rsidP="00B14CEC">
      <w:pPr>
        <w:spacing w:before="240" w:after="240" w:line="294" w:lineRule="auto"/>
        <w:jc w:val="both"/>
        <w:rPr>
          <w:sz w:val="20"/>
          <w:szCs w:val="20"/>
        </w:rPr>
      </w:pPr>
      <w:r w:rsidRPr="00B14CEC">
        <w:rPr>
          <w:b/>
          <w:bCs/>
          <w:sz w:val="20"/>
          <w:szCs w:val="20"/>
        </w:rPr>
        <w:t>PARÁGRAFO TRANSITORIO</w:t>
      </w:r>
      <w:r>
        <w:rPr>
          <w:sz w:val="20"/>
          <w:szCs w:val="20"/>
        </w:rPr>
        <w:t>. La ley determinará la distribución de estas curules entre las comisiones constitucionales permanentes del Senado de la República y realizará los ajustes presupuestales necesarios</w:t>
      </w:r>
    </w:p>
    <w:p w14:paraId="646EFC1C" w14:textId="5D3C4ECF" w:rsidR="00674456" w:rsidRDefault="00674456" w:rsidP="00674456">
      <w:pPr>
        <w:jc w:val="both"/>
      </w:pPr>
      <w:r>
        <w:rPr>
          <w:b/>
          <w:sz w:val="20"/>
          <w:szCs w:val="20"/>
        </w:rPr>
        <w:t xml:space="preserve">ARTÍCULO </w:t>
      </w:r>
      <w:r w:rsidR="00B14CEC">
        <w:rPr>
          <w:b/>
          <w:sz w:val="20"/>
          <w:szCs w:val="20"/>
        </w:rPr>
        <w:t>4</w:t>
      </w:r>
      <w:r>
        <w:rPr>
          <w:b/>
          <w:sz w:val="20"/>
          <w:szCs w:val="20"/>
        </w:rPr>
        <w:t xml:space="preserve">.  Vigencia. </w:t>
      </w:r>
      <w:r>
        <w:rPr>
          <w:sz w:val="20"/>
          <w:szCs w:val="20"/>
        </w:rPr>
        <w:t>El presente Acto Legislativo regirá a partir de su promulgación.</w:t>
      </w:r>
    </w:p>
    <w:p w14:paraId="44BFEBE5" w14:textId="77777777" w:rsidR="00113EB2" w:rsidRDefault="00113EB2" w:rsidP="0085794F">
      <w:pPr>
        <w:spacing w:line="276" w:lineRule="auto"/>
        <w:jc w:val="both"/>
        <w:rPr>
          <w:rFonts w:ascii="Arial" w:hAnsi="Arial" w:cs="Arial"/>
          <w:color w:val="000000"/>
          <w:lang w:val="es-ES" w:eastAsia="es-ES"/>
        </w:rPr>
      </w:pPr>
    </w:p>
    <w:p w14:paraId="6441826B" w14:textId="4B5D34F5" w:rsidR="00A01305" w:rsidRPr="00113EB2" w:rsidRDefault="00CA4DEE" w:rsidP="0085794F">
      <w:pPr>
        <w:spacing w:line="276" w:lineRule="auto"/>
        <w:jc w:val="both"/>
        <w:rPr>
          <w:rFonts w:ascii="Calibri" w:hAnsi="Calibri" w:cs="Calibri"/>
          <w:color w:val="000000"/>
          <w:sz w:val="20"/>
          <w:szCs w:val="20"/>
          <w:lang w:val="es-ES" w:eastAsia="es-ES"/>
        </w:rPr>
      </w:pPr>
      <w:r w:rsidRPr="00113EB2">
        <w:rPr>
          <w:rFonts w:ascii="Calibri" w:hAnsi="Calibri" w:cs="Calibri"/>
          <w:color w:val="000000"/>
          <w:sz w:val="20"/>
          <w:szCs w:val="20"/>
          <w:lang w:val="es-ES" w:eastAsia="es-ES"/>
        </w:rPr>
        <w:t xml:space="preserve">En los anteriores términos fue aprobado con modificaciones el presente Proyecto de </w:t>
      </w:r>
      <w:r w:rsidR="006A7638">
        <w:rPr>
          <w:rFonts w:ascii="Calibri" w:hAnsi="Calibri" w:cs="Calibri"/>
          <w:color w:val="000000"/>
          <w:sz w:val="20"/>
          <w:szCs w:val="20"/>
          <w:lang w:val="es-ES" w:eastAsia="es-ES"/>
        </w:rPr>
        <w:t xml:space="preserve">Acto Legislativo </w:t>
      </w:r>
      <w:r w:rsidRPr="00113EB2">
        <w:rPr>
          <w:rFonts w:ascii="Calibri" w:hAnsi="Calibri" w:cs="Calibri"/>
          <w:color w:val="000000"/>
          <w:sz w:val="20"/>
          <w:szCs w:val="20"/>
          <w:lang w:val="es-ES" w:eastAsia="es-ES"/>
        </w:rPr>
        <w:t xml:space="preserve">según consta en Actas No. </w:t>
      </w:r>
      <w:r w:rsidR="004E422C" w:rsidRPr="00113EB2">
        <w:rPr>
          <w:rFonts w:ascii="Calibri" w:hAnsi="Calibri" w:cs="Calibri"/>
          <w:color w:val="000000"/>
          <w:sz w:val="20"/>
          <w:szCs w:val="20"/>
          <w:lang w:val="es-ES" w:eastAsia="es-ES"/>
        </w:rPr>
        <w:t>1</w:t>
      </w:r>
      <w:r w:rsidR="00B22913">
        <w:rPr>
          <w:rFonts w:ascii="Calibri" w:hAnsi="Calibri" w:cs="Calibri"/>
          <w:color w:val="000000"/>
          <w:sz w:val="20"/>
          <w:szCs w:val="20"/>
          <w:lang w:val="es-ES" w:eastAsia="es-ES"/>
        </w:rPr>
        <w:t>8</w:t>
      </w:r>
      <w:r w:rsidRPr="00113EB2">
        <w:rPr>
          <w:rFonts w:ascii="Calibri" w:hAnsi="Calibri" w:cs="Calibri"/>
          <w:color w:val="000000"/>
          <w:sz w:val="20"/>
          <w:szCs w:val="20"/>
          <w:lang w:val="es-ES" w:eastAsia="es-ES"/>
        </w:rPr>
        <w:t xml:space="preserve"> de sesión </w:t>
      </w:r>
      <w:r w:rsidR="004E422C" w:rsidRPr="00113EB2">
        <w:rPr>
          <w:rFonts w:ascii="Calibri" w:hAnsi="Calibri" w:cs="Calibri"/>
          <w:color w:val="000000"/>
          <w:sz w:val="20"/>
          <w:szCs w:val="20"/>
          <w:lang w:val="es-ES" w:eastAsia="es-ES"/>
        </w:rPr>
        <w:t xml:space="preserve">presencial con excepciones </w:t>
      </w:r>
      <w:r w:rsidRPr="00113EB2">
        <w:rPr>
          <w:rFonts w:ascii="Calibri" w:hAnsi="Calibri" w:cs="Calibri"/>
          <w:color w:val="000000"/>
          <w:sz w:val="20"/>
          <w:szCs w:val="20"/>
          <w:lang w:val="es-ES" w:eastAsia="es-ES"/>
        </w:rPr>
        <w:t>de</w:t>
      </w:r>
      <w:r w:rsidR="004E422C" w:rsidRPr="00113EB2">
        <w:rPr>
          <w:rFonts w:ascii="Calibri" w:hAnsi="Calibri" w:cs="Calibri"/>
          <w:color w:val="000000"/>
          <w:sz w:val="20"/>
          <w:szCs w:val="20"/>
          <w:lang w:val="es-ES" w:eastAsia="es-ES"/>
        </w:rPr>
        <w:t xml:space="preserve"> septiembre 2</w:t>
      </w:r>
      <w:r w:rsidR="00B22913">
        <w:rPr>
          <w:rFonts w:ascii="Calibri" w:hAnsi="Calibri" w:cs="Calibri"/>
          <w:color w:val="000000"/>
          <w:sz w:val="20"/>
          <w:szCs w:val="20"/>
          <w:lang w:val="es-ES" w:eastAsia="es-ES"/>
        </w:rPr>
        <w:t>9</w:t>
      </w:r>
      <w:r w:rsidR="004E422C" w:rsidRPr="00113EB2">
        <w:rPr>
          <w:rFonts w:ascii="Calibri" w:hAnsi="Calibri" w:cs="Calibri"/>
          <w:color w:val="000000"/>
          <w:sz w:val="20"/>
          <w:szCs w:val="20"/>
          <w:lang w:val="es-ES" w:eastAsia="es-ES"/>
        </w:rPr>
        <w:t xml:space="preserve"> de 2020</w:t>
      </w:r>
      <w:r w:rsidR="00B22913">
        <w:rPr>
          <w:rFonts w:ascii="Calibri" w:hAnsi="Calibri" w:cs="Calibri"/>
          <w:color w:val="000000"/>
          <w:sz w:val="20"/>
          <w:szCs w:val="20"/>
          <w:lang w:val="es-ES" w:eastAsia="es-ES"/>
        </w:rPr>
        <w:t>,</w:t>
      </w:r>
      <w:r w:rsidR="004E422C" w:rsidRPr="00113EB2">
        <w:rPr>
          <w:rFonts w:ascii="Calibri" w:hAnsi="Calibri" w:cs="Calibri"/>
          <w:color w:val="000000"/>
          <w:sz w:val="20"/>
          <w:szCs w:val="20"/>
          <w:lang w:val="es-ES" w:eastAsia="es-ES"/>
        </w:rPr>
        <w:t xml:space="preserve"> </w:t>
      </w:r>
      <w:r w:rsidRPr="00113EB2">
        <w:rPr>
          <w:rFonts w:ascii="Calibri" w:hAnsi="Calibri" w:cs="Calibri"/>
          <w:color w:val="000000"/>
          <w:sz w:val="20"/>
          <w:szCs w:val="20"/>
          <w:lang w:val="es-ES" w:eastAsia="es-ES"/>
        </w:rPr>
        <w:t xml:space="preserve">Acta No. </w:t>
      </w:r>
      <w:r w:rsidR="004E422C" w:rsidRPr="00113EB2">
        <w:rPr>
          <w:rFonts w:ascii="Calibri" w:hAnsi="Calibri" w:cs="Calibri"/>
          <w:color w:val="000000"/>
          <w:sz w:val="20"/>
          <w:szCs w:val="20"/>
          <w:lang w:val="es-ES" w:eastAsia="es-ES"/>
        </w:rPr>
        <w:t>1</w:t>
      </w:r>
      <w:r w:rsidR="00B22913">
        <w:rPr>
          <w:rFonts w:ascii="Calibri" w:hAnsi="Calibri" w:cs="Calibri"/>
          <w:color w:val="000000"/>
          <w:sz w:val="20"/>
          <w:szCs w:val="20"/>
          <w:lang w:val="es-ES" w:eastAsia="es-ES"/>
        </w:rPr>
        <w:t>9</w:t>
      </w:r>
      <w:r w:rsidRPr="00113EB2">
        <w:rPr>
          <w:rFonts w:ascii="Calibri" w:hAnsi="Calibri" w:cs="Calibri"/>
          <w:color w:val="000000"/>
          <w:sz w:val="20"/>
          <w:szCs w:val="20"/>
          <w:lang w:val="es-ES" w:eastAsia="es-ES"/>
        </w:rPr>
        <w:t xml:space="preserve"> de sesión</w:t>
      </w:r>
      <w:r w:rsidR="004E422C" w:rsidRPr="00113EB2">
        <w:rPr>
          <w:rFonts w:ascii="Calibri" w:hAnsi="Calibri" w:cs="Calibri"/>
          <w:color w:val="000000"/>
          <w:sz w:val="20"/>
          <w:szCs w:val="20"/>
          <w:lang w:val="es-ES" w:eastAsia="es-ES"/>
        </w:rPr>
        <w:t xml:space="preserve"> presencial con excepciones de septiembre </w:t>
      </w:r>
      <w:r w:rsidR="00B22913">
        <w:rPr>
          <w:rFonts w:ascii="Calibri" w:hAnsi="Calibri" w:cs="Calibri"/>
          <w:color w:val="000000"/>
          <w:sz w:val="20"/>
          <w:szCs w:val="20"/>
          <w:lang w:val="es-ES" w:eastAsia="es-ES"/>
        </w:rPr>
        <w:t>30</w:t>
      </w:r>
      <w:r w:rsidR="004E422C" w:rsidRPr="00113EB2">
        <w:rPr>
          <w:rFonts w:ascii="Calibri" w:hAnsi="Calibri" w:cs="Calibri"/>
          <w:color w:val="000000"/>
          <w:sz w:val="20"/>
          <w:szCs w:val="20"/>
          <w:lang w:val="es-ES" w:eastAsia="es-ES"/>
        </w:rPr>
        <w:t xml:space="preserve"> de 2020</w:t>
      </w:r>
      <w:r w:rsidR="00B22913">
        <w:rPr>
          <w:rFonts w:ascii="Calibri" w:hAnsi="Calibri" w:cs="Calibri"/>
          <w:color w:val="000000"/>
          <w:sz w:val="20"/>
          <w:szCs w:val="20"/>
          <w:lang w:val="es-ES" w:eastAsia="es-ES"/>
        </w:rPr>
        <w:t xml:space="preserve"> y Acta No. 20 de sesión presencial con excepciones de octubre 06 de 2020</w:t>
      </w:r>
      <w:r w:rsidR="004E422C" w:rsidRPr="00113EB2">
        <w:rPr>
          <w:rFonts w:ascii="Calibri" w:hAnsi="Calibri" w:cs="Calibri"/>
          <w:color w:val="000000"/>
          <w:sz w:val="20"/>
          <w:szCs w:val="20"/>
          <w:lang w:val="es-ES" w:eastAsia="es-ES"/>
        </w:rPr>
        <w:t>.</w:t>
      </w:r>
      <w:r w:rsidRPr="00113EB2">
        <w:rPr>
          <w:rFonts w:ascii="Calibri" w:hAnsi="Calibri" w:cs="Calibri"/>
          <w:color w:val="000000"/>
          <w:sz w:val="20"/>
          <w:szCs w:val="20"/>
          <w:lang w:val="es-ES" w:eastAsia="es-ES"/>
        </w:rPr>
        <w:t xml:space="preserve"> Anunciado entre otras fechas, el </w:t>
      </w:r>
      <w:r w:rsidR="00B22913">
        <w:rPr>
          <w:rFonts w:ascii="Calibri" w:hAnsi="Calibri" w:cs="Calibri"/>
          <w:color w:val="000000"/>
          <w:sz w:val="20"/>
          <w:szCs w:val="20"/>
          <w:lang w:val="es-ES" w:eastAsia="es-ES"/>
        </w:rPr>
        <w:t>24</w:t>
      </w:r>
      <w:r w:rsidRPr="00113EB2">
        <w:rPr>
          <w:rFonts w:ascii="Calibri" w:hAnsi="Calibri" w:cs="Calibri"/>
          <w:color w:val="000000"/>
          <w:sz w:val="20"/>
          <w:szCs w:val="20"/>
          <w:lang w:val="es-ES" w:eastAsia="es-ES"/>
        </w:rPr>
        <w:t xml:space="preserve"> de </w:t>
      </w:r>
      <w:r w:rsidR="004E422C" w:rsidRPr="00113EB2">
        <w:rPr>
          <w:rFonts w:ascii="Calibri" w:hAnsi="Calibri" w:cs="Calibri"/>
          <w:color w:val="000000"/>
          <w:sz w:val="20"/>
          <w:szCs w:val="20"/>
          <w:lang w:val="es-ES" w:eastAsia="es-ES"/>
        </w:rPr>
        <w:t>septiembre</w:t>
      </w:r>
      <w:r w:rsidRPr="00113EB2">
        <w:rPr>
          <w:rFonts w:ascii="Calibri" w:hAnsi="Calibri" w:cs="Calibri"/>
          <w:color w:val="000000"/>
          <w:sz w:val="20"/>
          <w:szCs w:val="20"/>
          <w:lang w:val="es-ES" w:eastAsia="es-ES"/>
        </w:rPr>
        <w:t xml:space="preserve"> de 2020 según consta en Acta No. </w:t>
      </w:r>
      <w:r w:rsidR="004E422C" w:rsidRPr="00113EB2">
        <w:rPr>
          <w:rFonts w:ascii="Calibri" w:hAnsi="Calibri" w:cs="Calibri"/>
          <w:color w:val="000000"/>
          <w:sz w:val="20"/>
          <w:szCs w:val="20"/>
          <w:lang w:val="es-ES" w:eastAsia="es-ES"/>
        </w:rPr>
        <w:t>1</w:t>
      </w:r>
      <w:r w:rsidR="00B22913">
        <w:rPr>
          <w:rFonts w:ascii="Calibri" w:hAnsi="Calibri" w:cs="Calibri"/>
          <w:color w:val="000000"/>
          <w:sz w:val="20"/>
          <w:szCs w:val="20"/>
          <w:lang w:val="es-ES" w:eastAsia="es-ES"/>
        </w:rPr>
        <w:t>7</w:t>
      </w:r>
      <w:r w:rsidRPr="00113EB2">
        <w:rPr>
          <w:rFonts w:ascii="Calibri" w:hAnsi="Calibri" w:cs="Calibri"/>
          <w:color w:val="000000"/>
          <w:sz w:val="20"/>
          <w:szCs w:val="20"/>
          <w:lang w:val="es-ES" w:eastAsia="es-ES"/>
        </w:rPr>
        <w:t xml:space="preserve"> de sesión </w:t>
      </w:r>
      <w:r w:rsidR="00B22913">
        <w:rPr>
          <w:rFonts w:ascii="Calibri" w:hAnsi="Calibri" w:cs="Calibri"/>
          <w:color w:val="000000"/>
          <w:sz w:val="20"/>
          <w:szCs w:val="20"/>
          <w:lang w:val="es-ES" w:eastAsia="es-ES"/>
        </w:rPr>
        <w:t xml:space="preserve">remota </w:t>
      </w:r>
      <w:r w:rsidR="00834B6E" w:rsidRPr="00113EB2">
        <w:rPr>
          <w:rFonts w:ascii="Calibri" w:hAnsi="Calibri" w:cs="Calibri"/>
          <w:color w:val="000000"/>
          <w:sz w:val="20"/>
          <w:szCs w:val="20"/>
          <w:lang w:val="es-ES" w:eastAsia="es-ES"/>
        </w:rPr>
        <w:t>de la misma fecha</w:t>
      </w:r>
      <w:r w:rsidR="00B22913">
        <w:rPr>
          <w:rFonts w:ascii="Calibri" w:hAnsi="Calibri" w:cs="Calibri"/>
          <w:color w:val="000000"/>
          <w:sz w:val="20"/>
          <w:szCs w:val="20"/>
          <w:lang w:val="es-ES" w:eastAsia="es-ES"/>
        </w:rPr>
        <w:t xml:space="preserve">, </w:t>
      </w:r>
      <w:r w:rsidRPr="00113EB2">
        <w:rPr>
          <w:rFonts w:ascii="Calibri" w:hAnsi="Calibri" w:cs="Calibri"/>
          <w:color w:val="000000"/>
          <w:sz w:val="20"/>
          <w:szCs w:val="20"/>
          <w:lang w:val="es-ES" w:eastAsia="es-ES"/>
        </w:rPr>
        <w:t xml:space="preserve">el </w:t>
      </w:r>
      <w:r w:rsidR="004E422C" w:rsidRPr="00113EB2">
        <w:rPr>
          <w:rFonts w:ascii="Calibri" w:hAnsi="Calibri" w:cs="Calibri"/>
          <w:color w:val="000000"/>
          <w:sz w:val="20"/>
          <w:szCs w:val="20"/>
          <w:lang w:val="es-ES" w:eastAsia="es-ES"/>
        </w:rPr>
        <w:t>2</w:t>
      </w:r>
      <w:r w:rsidR="00B22913">
        <w:rPr>
          <w:rFonts w:ascii="Calibri" w:hAnsi="Calibri" w:cs="Calibri"/>
          <w:color w:val="000000"/>
          <w:sz w:val="20"/>
          <w:szCs w:val="20"/>
          <w:lang w:val="es-ES" w:eastAsia="es-ES"/>
        </w:rPr>
        <w:t>9</w:t>
      </w:r>
      <w:r w:rsidRPr="00113EB2">
        <w:rPr>
          <w:rFonts w:ascii="Calibri" w:hAnsi="Calibri" w:cs="Calibri"/>
          <w:color w:val="000000"/>
          <w:sz w:val="20"/>
          <w:szCs w:val="20"/>
          <w:lang w:val="es-ES" w:eastAsia="es-ES"/>
        </w:rPr>
        <w:t xml:space="preserve"> de </w:t>
      </w:r>
      <w:r w:rsidR="004E422C" w:rsidRPr="00113EB2">
        <w:rPr>
          <w:rFonts w:ascii="Calibri" w:hAnsi="Calibri" w:cs="Calibri"/>
          <w:color w:val="000000"/>
          <w:sz w:val="20"/>
          <w:szCs w:val="20"/>
          <w:lang w:val="es-ES" w:eastAsia="es-ES"/>
        </w:rPr>
        <w:t>septiembre</w:t>
      </w:r>
      <w:r w:rsidRPr="00113EB2">
        <w:rPr>
          <w:rFonts w:ascii="Calibri" w:hAnsi="Calibri" w:cs="Calibri"/>
          <w:color w:val="000000"/>
          <w:sz w:val="20"/>
          <w:szCs w:val="20"/>
          <w:lang w:val="es-ES" w:eastAsia="es-ES"/>
        </w:rPr>
        <w:t xml:space="preserve"> de 2020 </w:t>
      </w:r>
      <w:r w:rsidR="00BF34E3" w:rsidRPr="00113EB2">
        <w:rPr>
          <w:rFonts w:ascii="Calibri" w:hAnsi="Calibri" w:cs="Calibri"/>
          <w:color w:val="000000"/>
          <w:sz w:val="20"/>
          <w:szCs w:val="20"/>
          <w:lang w:val="es-ES" w:eastAsia="es-ES"/>
        </w:rPr>
        <w:t>según</w:t>
      </w:r>
      <w:r w:rsidRPr="00113EB2">
        <w:rPr>
          <w:rFonts w:ascii="Calibri" w:hAnsi="Calibri" w:cs="Calibri"/>
          <w:color w:val="000000"/>
          <w:sz w:val="20"/>
          <w:szCs w:val="20"/>
          <w:lang w:val="es-ES" w:eastAsia="es-ES"/>
        </w:rPr>
        <w:t xml:space="preserve"> consta en Acta No. </w:t>
      </w:r>
      <w:r w:rsidR="00A01C1A" w:rsidRPr="00113EB2">
        <w:rPr>
          <w:rFonts w:ascii="Calibri" w:hAnsi="Calibri" w:cs="Calibri"/>
          <w:color w:val="000000"/>
          <w:sz w:val="20"/>
          <w:szCs w:val="20"/>
          <w:lang w:val="es-ES" w:eastAsia="es-ES"/>
        </w:rPr>
        <w:t>1</w:t>
      </w:r>
      <w:r w:rsidR="00B22913">
        <w:rPr>
          <w:rFonts w:ascii="Calibri" w:hAnsi="Calibri" w:cs="Calibri"/>
          <w:color w:val="000000"/>
          <w:sz w:val="20"/>
          <w:szCs w:val="20"/>
          <w:lang w:val="es-ES" w:eastAsia="es-ES"/>
        </w:rPr>
        <w:t>8</w:t>
      </w:r>
      <w:r w:rsidRPr="00113EB2">
        <w:rPr>
          <w:rFonts w:ascii="Calibri" w:hAnsi="Calibri" w:cs="Calibri"/>
          <w:color w:val="000000"/>
          <w:sz w:val="20"/>
          <w:szCs w:val="20"/>
          <w:lang w:val="es-ES" w:eastAsia="es-ES"/>
        </w:rPr>
        <w:t xml:space="preserve"> de sesión </w:t>
      </w:r>
      <w:r w:rsidR="00B22913" w:rsidRPr="00113EB2">
        <w:rPr>
          <w:rFonts w:ascii="Calibri" w:hAnsi="Calibri" w:cs="Calibri"/>
          <w:color w:val="000000"/>
          <w:sz w:val="20"/>
          <w:szCs w:val="20"/>
          <w:lang w:val="es-ES" w:eastAsia="es-ES"/>
        </w:rPr>
        <w:t xml:space="preserve">presencial con excepciones </w:t>
      </w:r>
      <w:r w:rsidR="00834B6E" w:rsidRPr="00113EB2">
        <w:rPr>
          <w:rFonts w:ascii="Calibri" w:hAnsi="Calibri" w:cs="Calibri"/>
          <w:color w:val="000000"/>
          <w:sz w:val="20"/>
          <w:szCs w:val="20"/>
          <w:lang w:val="es-ES" w:eastAsia="es-ES"/>
        </w:rPr>
        <w:t>de la misma fecha</w:t>
      </w:r>
      <w:r w:rsidR="00B22913">
        <w:rPr>
          <w:rFonts w:ascii="Calibri" w:hAnsi="Calibri" w:cs="Calibri"/>
          <w:color w:val="000000"/>
          <w:sz w:val="20"/>
          <w:szCs w:val="20"/>
          <w:lang w:val="es-ES" w:eastAsia="es-ES"/>
        </w:rPr>
        <w:t xml:space="preserve"> y el 30 de septiembre de 2020 según consta en Acta No. 19 de sesión presencial con excepciones de la misma fecha.</w:t>
      </w:r>
    </w:p>
    <w:p w14:paraId="403520D5" w14:textId="3F004869" w:rsidR="00BF34E3" w:rsidRPr="00113EB2" w:rsidRDefault="00BF34E3" w:rsidP="00503E9D">
      <w:pPr>
        <w:spacing w:before="45" w:after="15" w:line="276" w:lineRule="auto"/>
        <w:ind w:right="30"/>
        <w:jc w:val="both"/>
        <w:rPr>
          <w:rFonts w:ascii="Calibri" w:eastAsia="Times New Roman" w:hAnsi="Calibri" w:cs="Calibri"/>
          <w:b/>
          <w:color w:val="000000"/>
          <w:sz w:val="20"/>
          <w:szCs w:val="20"/>
          <w:lang w:eastAsia="es-CO"/>
        </w:rPr>
      </w:pPr>
    </w:p>
    <w:p w14:paraId="51395CAD" w14:textId="702A03C4" w:rsidR="009304B1" w:rsidRDefault="009304B1" w:rsidP="00503E9D">
      <w:pPr>
        <w:spacing w:before="45" w:after="15" w:line="276" w:lineRule="auto"/>
        <w:ind w:right="30"/>
        <w:jc w:val="both"/>
        <w:rPr>
          <w:rFonts w:ascii="Calibri" w:eastAsia="Times New Roman" w:hAnsi="Calibri" w:cs="Calibri"/>
          <w:b/>
          <w:color w:val="000000"/>
          <w:sz w:val="20"/>
          <w:szCs w:val="20"/>
          <w:lang w:eastAsia="es-CO"/>
        </w:rPr>
      </w:pPr>
    </w:p>
    <w:p w14:paraId="3B5D1895" w14:textId="40320F69" w:rsidR="00B53D70" w:rsidRDefault="00B53D70" w:rsidP="00503E9D">
      <w:pPr>
        <w:spacing w:before="45" w:after="15" w:line="276" w:lineRule="auto"/>
        <w:ind w:right="30"/>
        <w:jc w:val="both"/>
        <w:rPr>
          <w:rFonts w:ascii="Calibri" w:eastAsia="Times New Roman" w:hAnsi="Calibri" w:cs="Calibri"/>
          <w:b/>
          <w:color w:val="000000"/>
          <w:sz w:val="20"/>
          <w:szCs w:val="20"/>
          <w:lang w:eastAsia="es-CO"/>
        </w:rPr>
      </w:pPr>
    </w:p>
    <w:p w14:paraId="40E7771F" w14:textId="60B30EBA" w:rsidR="00B53D70" w:rsidRPr="00113EB2" w:rsidRDefault="00B53D70" w:rsidP="00503E9D">
      <w:pPr>
        <w:spacing w:before="45" w:after="15" w:line="276" w:lineRule="auto"/>
        <w:ind w:right="30"/>
        <w:jc w:val="both"/>
        <w:rPr>
          <w:rFonts w:ascii="Calibri" w:eastAsia="Times New Roman" w:hAnsi="Calibri" w:cs="Calibri"/>
          <w:b/>
          <w:color w:val="000000"/>
          <w:sz w:val="20"/>
          <w:szCs w:val="20"/>
          <w:lang w:eastAsia="es-CO"/>
        </w:rPr>
      </w:pPr>
    </w:p>
    <w:p w14:paraId="79CF5725" w14:textId="16DF664C" w:rsidR="00CE1606" w:rsidRPr="00CE1606" w:rsidRDefault="00A01C1A" w:rsidP="00743757">
      <w:pPr>
        <w:spacing w:after="0" w:line="240" w:lineRule="auto"/>
        <w:jc w:val="both"/>
        <w:rPr>
          <w:rFonts w:ascii="Calibri" w:eastAsia="Times New Roman" w:hAnsi="Calibri" w:cs="Calibri"/>
          <w:b/>
          <w:color w:val="000000"/>
          <w:sz w:val="20"/>
          <w:szCs w:val="20"/>
          <w:lang w:eastAsia="es-CO"/>
        </w:rPr>
      </w:pPr>
      <w:r w:rsidRPr="00113EB2">
        <w:rPr>
          <w:rFonts w:ascii="Calibri" w:eastAsia="Times New Roman" w:hAnsi="Calibri" w:cs="Calibri"/>
          <w:b/>
          <w:color w:val="000000"/>
          <w:sz w:val="20"/>
          <w:szCs w:val="20"/>
          <w:lang w:eastAsia="es-CO"/>
        </w:rPr>
        <w:t>J</w:t>
      </w:r>
      <w:r w:rsidR="002E4EEE">
        <w:rPr>
          <w:rFonts w:ascii="Calibri" w:eastAsia="Times New Roman" w:hAnsi="Calibri" w:cs="Calibri"/>
          <w:b/>
          <w:color w:val="000000"/>
          <w:sz w:val="20"/>
          <w:szCs w:val="20"/>
          <w:lang w:eastAsia="es-CO"/>
        </w:rPr>
        <w:t>OSÉ DANIEL LÓPEZ JIMÉNEZ</w:t>
      </w:r>
      <w:r w:rsidR="00654984" w:rsidRPr="00113EB2">
        <w:rPr>
          <w:rFonts w:ascii="Calibri" w:eastAsia="Times New Roman" w:hAnsi="Calibri" w:cs="Calibri"/>
          <w:b/>
          <w:color w:val="000000"/>
          <w:sz w:val="20"/>
          <w:szCs w:val="20"/>
          <w:lang w:eastAsia="es-CO"/>
        </w:rPr>
        <w:tab/>
      </w:r>
      <w:r w:rsidR="00654984" w:rsidRPr="00113EB2">
        <w:rPr>
          <w:rFonts w:ascii="Calibri" w:eastAsia="Times New Roman" w:hAnsi="Calibri" w:cs="Calibri"/>
          <w:b/>
          <w:color w:val="000000"/>
          <w:sz w:val="20"/>
          <w:szCs w:val="20"/>
          <w:lang w:eastAsia="es-CO"/>
        </w:rPr>
        <w:tab/>
      </w:r>
      <w:r w:rsidR="00654984" w:rsidRPr="00113EB2">
        <w:rPr>
          <w:rFonts w:ascii="Calibri" w:eastAsia="Times New Roman" w:hAnsi="Calibri" w:cs="Calibri"/>
          <w:b/>
          <w:color w:val="000000"/>
          <w:sz w:val="20"/>
          <w:szCs w:val="20"/>
          <w:lang w:eastAsia="es-CO"/>
        </w:rPr>
        <w:tab/>
      </w:r>
      <w:r w:rsidR="00743757">
        <w:rPr>
          <w:rFonts w:ascii="Calibri" w:eastAsia="Times New Roman" w:hAnsi="Calibri" w:cs="Calibri"/>
          <w:b/>
          <w:color w:val="000000"/>
          <w:sz w:val="20"/>
          <w:szCs w:val="20"/>
          <w:lang w:eastAsia="es-CO"/>
        </w:rPr>
        <w:t xml:space="preserve">               </w:t>
      </w:r>
      <w:r w:rsidR="002E4EEE">
        <w:rPr>
          <w:rFonts w:ascii="Calibri" w:eastAsia="Times New Roman" w:hAnsi="Calibri" w:cs="Calibri"/>
          <w:b/>
          <w:color w:val="000000"/>
          <w:sz w:val="20"/>
          <w:szCs w:val="20"/>
          <w:lang w:eastAsia="es-CO"/>
        </w:rPr>
        <w:t>HERNÁN GUSTAVO ESTUPIÑAN CALVACHE</w:t>
      </w:r>
    </w:p>
    <w:p w14:paraId="7D0C364E" w14:textId="417CE0CA" w:rsidR="00654984" w:rsidRPr="00113EB2" w:rsidRDefault="00654984" w:rsidP="00743757">
      <w:pPr>
        <w:spacing w:after="0" w:line="240" w:lineRule="auto"/>
        <w:jc w:val="both"/>
        <w:rPr>
          <w:rFonts w:ascii="Calibri" w:eastAsia="Times New Roman" w:hAnsi="Calibri" w:cs="Calibri"/>
          <w:color w:val="000000"/>
          <w:sz w:val="20"/>
          <w:szCs w:val="20"/>
          <w:lang w:eastAsia="es-CO"/>
        </w:rPr>
      </w:pPr>
      <w:r w:rsidRPr="00113EB2">
        <w:rPr>
          <w:rFonts w:ascii="Calibri" w:eastAsia="Times New Roman" w:hAnsi="Calibri" w:cs="Calibri"/>
          <w:color w:val="000000"/>
          <w:sz w:val="20"/>
          <w:szCs w:val="20"/>
          <w:lang w:eastAsia="es-CO"/>
        </w:rPr>
        <w:t>Ponente Coordinador</w:t>
      </w:r>
      <w:r w:rsidRPr="00113EB2">
        <w:rPr>
          <w:rFonts w:ascii="Calibri" w:eastAsia="Times New Roman" w:hAnsi="Calibri" w:cs="Calibri"/>
          <w:color w:val="000000"/>
          <w:sz w:val="20"/>
          <w:szCs w:val="20"/>
          <w:lang w:eastAsia="es-CO"/>
        </w:rPr>
        <w:tab/>
      </w:r>
      <w:r w:rsidRPr="00113EB2">
        <w:rPr>
          <w:rFonts w:ascii="Calibri" w:eastAsia="Times New Roman" w:hAnsi="Calibri" w:cs="Calibri"/>
          <w:color w:val="000000"/>
          <w:sz w:val="20"/>
          <w:szCs w:val="20"/>
          <w:lang w:eastAsia="es-CO"/>
        </w:rPr>
        <w:tab/>
      </w:r>
      <w:r w:rsidRPr="00113EB2">
        <w:rPr>
          <w:rFonts w:ascii="Calibri" w:eastAsia="Times New Roman" w:hAnsi="Calibri" w:cs="Calibri"/>
          <w:color w:val="000000"/>
          <w:sz w:val="20"/>
          <w:szCs w:val="20"/>
          <w:lang w:eastAsia="es-CO"/>
        </w:rPr>
        <w:tab/>
      </w:r>
      <w:r w:rsidRPr="00113EB2">
        <w:rPr>
          <w:rFonts w:ascii="Calibri" w:eastAsia="Times New Roman" w:hAnsi="Calibri" w:cs="Calibri"/>
          <w:color w:val="000000"/>
          <w:sz w:val="20"/>
          <w:szCs w:val="20"/>
          <w:lang w:eastAsia="es-CO"/>
        </w:rPr>
        <w:tab/>
      </w:r>
      <w:r w:rsidR="00743757">
        <w:rPr>
          <w:rFonts w:ascii="Calibri" w:eastAsia="Times New Roman" w:hAnsi="Calibri" w:cs="Calibri"/>
          <w:color w:val="000000"/>
          <w:sz w:val="20"/>
          <w:szCs w:val="20"/>
          <w:lang w:eastAsia="es-CO"/>
        </w:rPr>
        <w:t xml:space="preserve">               Ponente Coordinador</w:t>
      </w:r>
    </w:p>
    <w:p w14:paraId="588C3E94" w14:textId="3D2AF91A" w:rsidR="00BF34E3" w:rsidRPr="00113EB2" w:rsidRDefault="00BF34E3" w:rsidP="00743757">
      <w:pPr>
        <w:spacing w:after="0" w:line="240" w:lineRule="auto"/>
        <w:jc w:val="both"/>
        <w:rPr>
          <w:rFonts w:ascii="Calibri" w:eastAsia="Times New Roman" w:hAnsi="Calibri" w:cs="Calibri"/>
          <w:color w:val="000000"/>
          <w:sz w:val="20"/>
          <w:szCs w:val="20"/>
          <w:lang w:eastAsia="es-CO"/>
        </w:rPr>
      </w:pPr>
    </w:p>
    <w:p w14:paraId="43A150AA" w14:textId="13644143" w:rsidR="00A01C1A" w:rsidRDefault="00A01C1A" w:rsidP="00743757">
      <w:pPr>
        <w:spacing w:after="0" w:line="240" w:lineRule="auto"/>
        <w:jc w:val="both"/>
        <w:rPr>
          <w:rFonts w:ascii="Calibri" w:eastAsia="Times New Roman" w:hAnsi="Calibri" w:cs="Calibri"/>
          <w:color w:val="000000"/>
          <w:sz w:val="20"/>
          <w:szCs w:val="20"/>
          <w:lang w:eastAsia="es-CO"/>
        </w:rPr>
      </w:pPr>
    </w:p>
    <w:p w14:paraId="5629F940" w14:textId="2E52D857" w:rsidR="00B53D70" w:rsidRDefault="00B53D70" w:rsidP="00743757">
      <w:pPr>
        <w:spacing w:after="0" w:line="240" w:lineRule="auto"/>
        <w:jc w:val="both"/>
        <w:rPr>
          <w:rFonts w:ascii="Calibri" w:eastAsia="Times New Roman" w:hAnsi="Calibri" w:cs="Calibri"/>
          <w:color w:val="000000"/>
          <w:sz w:val="20"/>
          <w:szCs w:val="20"/>
          <w:lang w:eastAsia="es-CO"/>
        </w:rPr>
      </w:pPr>
    </w:p>
    <w:p w14:paraId="4EED0A55" w14:textId="6569CD49" w:rsidR="00B53D70" w:rsidRDefault="00B53D70" w:rsidP="00743757">
      <w:pPr>
        <w:spacing w:after="0" w:line="240" w:lineRule="auto"/>
        <w:jc w:val="both"/>
        <w:rPr>
          <w:rFonts w:ascii="Calibri" w:eastAsia="Times New Roman" w:hAnsi="Calibri" w:cs="Calibri"/>
          <w:color w:val="000000"/>
          <w:sz w:val="20"/>
          <w:szCs w:val="20"/>
          <w:lang w:eastAsia="es-CO"/>
        </w:rPr>
      </w:pPr>
      <w:bookmarkStart w:id="1" w:name="_gjdgxs" w:colFirst="0" w:colLast="0"/>
      <w:bookmarkEnd w:id="1"/>
    </w:p>
    <w:p w14:paraId="495056AA" w14:textId="7D0B8B63" w:rsidR="00B53D70" w:rsidRDefault="00B53D70" w:rsidP="00743757">
      <w:pPr>
        <w:spacing w:after="0" w:line="240" w:lineRule="auto"/>
        <w:jc w:val="both"/>
        <w:rPr>
          <w:rFonts w:ascii="Calibri" w:eastAsia="Times New Roman" w:hAnsi="Calibri" w:cs="Calibri"/>
          <w:color w:val="000000"/>
          <w:sz w:val="20"/>
          <w:szCs w:val="20"/>
          <w:lang w:eastAsia="es-CO"/>
        </w:rPr>
      </w:pPr>
    </w:p>
    <w:p w14:paraId="58A94F8A" w14:textId="77777777" w:rsidR="00B53D70" w:rsidRPr="00113EB2" w:rsidRDefault="00B53D70" w:rsidP="00743757">
      <w:pPr>
        <w:spacing w:after="0" w:line="240" w:lineRule="auto"/>
        <w:jc w:val="both"/>
        <w:rPr>
          <w:rFonts w:ascii="Calibri" w:eastAsia="Times New Roman" w:hAnsi="Calibri" w:cs="Calibri"/>
          <w:color w:val="000000"/>
          <w:sz w:val="20"/>
          <w:szCs w:val="20"/>
          <w:lang w:eastAsia="es-CO"/>
        </w:rPr>
      </w:pPr>
    </w:p>
    <w:p w14:paraId="17499181" w14:textId="7BC8F519" w:rsidR="009304B1" w:rsidRDefault="002E4EEE" w:rsidP="00743757">
      <w:pPr>
        <w:spacing w:after="0" w:line="240" w:lineRule="auto"/>
        <w:jc w:val="both"/>
        <w:rPr>
          <w:rFonts w:ascii="Calibri" w:eastAsia="Times New Roman" w:hAnsi="Calibri" w:cs="Calibri"/>
          <w:b/>
          <w:color w:val="000000"/>
          <w:sz w:val="20"/>
          <w:szCs w:val="20"/>
          <w:lang w:eastAsia="es-CO"/>
        </w:rPr>
      </w:pPr>
      <w:r>
        <w:rPr>
          <w:rFonts w:ascii="Calibri" w:eastAsia="Times New Roman" w:hAnsi="Calibri" w:cs="Calibri"/>
          <w:b/>
          <w:color w:val="000000"/>
          <w:sz w:val="20"/>
          <w:szCs w:val="20"/>
          <w:lang w:eastAsia="es-CO"/>
        </w:rPr>
        <w:t>JORGE E</w:t>
      </w:r>
      <w:r w:rsidR="00743757">
        <w:rPr>
          <w:rFonts w:ascii="Calibri" w:eastAsia="Times New Roman" w:hAnsi="Calibri" w:cs="Calibri"/>
          <w:b/>
          <w:color w:val="000000"/>
          <w:sz w:val="20"/>
          <w:szCs w:val="20"/>
          <w:lang w:eastAsia="es-CO"/>
        </w:rPr>
        <w:t>NRIQUE</w:t>
      </w:r>
      <w:r>
        <w:rPr>
          <w:rFonts w:ascii="Calibri" w:eastAsia="Times New Roman" w:hAnsi="Calibri" w:cs="Calibri"/>
          <w:b/>
          <w:color w:val="000000"/>
          <w:sz w:val="20"/>
          <w:szCs w:val="20"/>
          <w:lang w:eastAsia="es-CO"/>
        </w:rPr>
        <w:t xml:space="preserve"> BURGOS LUGO                                                  ALFREDO RAFAEL DELUQUE ZULETA</w:t>
      </w:r>
    </w:p>
    <w:p w14:paraId="15BCFDC6" w14:textId="78E46821" w:rsidR="002E4EEE" w:rsidRDefault="00743757" w:rsidP="00743757">
      <w:pPr>
        <w:spacing w:after="0" w:line="240" w:lineRule="auto"/>
        <w:jc w:val="both"/>
        <w:rPr>
          <w:rFonts w:ascii="Calibri" w:eastAsia="Times New Roman" w:hAnsi="Calibri" w:cs="Calibri"/>
          <w:bCs/>
          <w:color w:val="000000"/>
          <w:sz w:val="20"/>
          <w:szCs w:val="20"/>
          <w:lang w:eastAsia="es-CO"/>
        </w:rPr>
      </w:pPr>
      <w:r w:rsidRPr="00743757">
        <w:rPr>
          <w:rFonts w:ascii="Calibri" w:eastAsia="Times New Roman" w:hAnsi="Calibri" w:cs="Calibri"/>
          <w:bCs/>
          <w:color w:val="000000"/>
          <w:sz w:val="20"/>
          <w:szCs w:val="20"/>
          <w:lang w:eastAsia="es-CO"/>
        </w:rPr>
        <w:t xml:space="preserve">Ponente Coordinador                                                              </w:t>
      </w:r>
      <w:r>
        <w:rPr>
          <w:rFonts w:ascii="Calibri" w:eastAsia="Times New Roman" w:hAnsi="Calibri" w:cs="Calibri"/>
          <w:bCs/>
          <w:color w:val="000000"/>
          <w:sz w:val="20"/>
          <w:szCs w:val="20"/>
          <w:lang w:eastAsia="es-CO"/>
        </w:rPr>
        <w:t xml:space="preserve">       </w:t>
      </w:r>
      <w:r w:rsidRPr="00743757">
        <w:rPr>
          <w:rFonts w:ascii="Calibri" w:eastAsia="Times New Roman" w:hAnsi="Calibri" w:cs="Calibri"/>
          <w:bCs/>
          <w:color w:val="000000"/>
          <w:sz w:val="20"/>
          <w:szCs w:val="20"/>
          <w:lang w:eastAsia="es-CO"/>
        </w:rPr>
        <w:t>Presidente</w:t>
      </w:r>
    </w:p>
    <w:p w14:paraId="4A275BB9" w14:textId="5945329E" w:rsidR="00743757" w:rsidRDefault="00743757" w:rsidP="00743757">
      <w:pPr>
        <w:spacing w:after="0" w:line="240" w:lineRule="auto"/>
        <w:jc w:val="both"/>
        <w:rPr>
          <w:rFonts w:ascii="Calibri" w:eastAsia="Times New Roman" w:hAnsi="Calibri" w:cs="Calibri"/>
          <w:bCs/>
          <w:color w:val="000000"/>
          <w:sz w:val="20"/>
          <w:szCs w:val="20"/>
          <w:lang w:eastAsia="es-CO"/>
        </w:rPr>
      </w:pPr>
    </w:p>
    <w:p w14:paraId="2DFAD245" w14:textId="08285E0B" w:rsidR="00743757" w:rsidRDefault="00743757" w:rsidP="00743757">
      <w:pPr>
        <w:spacing w:after="0" w:line="240" w:lineRule="auto"/>
        <w:jc w:val="both"/>
        <w:rPr>
          <w:rFonts w:ascii="Calibri" w:eastAsia="Times New Roman" w:hAnsi="Calibri" w:cs="Calibri"/>
          <w:bCs/>
          <w:color w:val="000000"/>
          <w:sz w:val="20"/>
          <w:szCs w:val="20"/>
          <w:lang w:eastAsia="es-CO"/>
        </w:rPr>
      </w:pPr>
      <w:bookmarkStart w:id="2" w:name="_GoBack"/>
      <w:bookmarkEnd w:id="2"/>
    </w:p>
    <w:p w14:paraId="78447BF7" w14:textId="3BFC478A" w:rsidR="00B53D70" w:rsidRDefault="00B53D70" w:rsidP="00743757">
      <w:pPr>
        <w:spacing w:after="0" w:line="240" w:lineRule="auto"/>
        <w:jc w:val="both"/>
        <w:rPr>
          <w:rFonts w:ascii="Calibri" w:eastAsia="Times New Roman" w:hAnsi="Calibri" w:cs="Calibri"/>
          <w:bCs/>
          <w:color w:val="000000"/>
          <w:sz w:val="20"/>
          <w:szCs w:val="20"/>
          <w:lang w:eastAsia="es-CO"/>
        </w:rPr>
      </w:pPr>
    </w:p>
    <w:p w14:paraId="0697E00E" w14:textId="4B06B3EA" w:rsidR="00B53D70" w:rsidRDefault="00B53D70" w:rsidP="00743757">
      <w:pPr>
        <w:spacing w:after="0" w:line="240" w:lineRule="auto"/>
        <w:jc w:val="both"/>
        <w:rPr>
          <w:rFonts w:ascii="Calibri" w:eastAsia="Times New Roman" w:hAnsi="Calibri" w:cs="Calibri"/>
          <w:bCs/>
          <w:color w:val="000000"/>
          <w:sz w:val="20"/>
          <w:szCs w:val="20"/>
          <w:lang w:eastAsia="es-CO"/>
        </w:rPr>
      </w:pPr>
    </w:p>
    <w:p w14:paraId="43E79722" w14:textId="6847021F" w:rsidR="00B53D70" w:rsidRDefault="00B53D70" w:rsidP="00743757">
      <w:pPr>
        <w:spacing w:after="0" w:line="240" w:lineRule="auto"/>
        <w:jc w:val="both"/>
        <w:rPr>
          <w:rFonts w:ascii="Calibri" w:eastAsia="Times New Roman" w:hAnsi="Calibri" w:cs="Calibri"/>
          <w:bCs/>
          <w:color w:val="000000"/>
          <w:sz w:val="20"/>
          <w:szCs w:val="20"/>
          <w:lang w:eastAsia="es-CO"/>
        </w:rPr>
      </w:pPr>
    </w:p>
    <w:p w14:paraId="576CC0FB" w14:textId="43CBB720" w:rsidR="00B53D70" w:rsidRPr="00743757" w:rsidRDefault="00B53D70" w:rsidP="00743757">
      <w:pPr>
        <w:spacing w:after="0" w:line="240" w:lineRule="auto"/>
        <w:jc w:val="both"/>
        <w:rPr>
          <w:rFonts w:ascii="Calibri" w:eastAsia="Times New Roman" w:hAnsi="Calibri" w:cs="Calibri"/>
          <w:bCs/>
          <w:color w:val="000000"/>
          <w:sz w:val="20"/>
          <w:szCs w:val="20"/>
          <w:lang w:eastAsia="es-CO"/>
        </w:rPr>
      </w:pPr>
    </w:p>
    <w:p w14:paraId="20813B8A" w14:textId="77777777" w:rsidR="002E4EEE" w:rsidRPr="00743757" w:rsidRDefault="002E4EEE" w:rsidP="00743757">
      <w:pPr>
        <w:spacing w:after="0" w:line="240" w:lineRule="auto"/>
        <w:jc w:val="both"/>
        <w:rPr>
          <w:rFonts w:ascii="Calibri" w:eastAsia="Times New Roman" w:hAnsi="Calibri" w:cs="Calibri"/>
          <w:bCs/>
          <w:color w:val="000000"/>
          <w:sz w:val="20"/>
          <w:szCs w:val="20"/>
          <w:lang w:eastAsia="es-CO"/>
        </w:rPr>
      </w:pPr>
    </w:p>
    <w:p w14:paraId="7C5FBE41" w14:textId="5E1F45F3" w:rsidR="00654984" w:rsidRPr="00113EB2" w:rsidRDefault="00654984" w:rsidP="00743757">
      <w:pPr>
        <w:spacing w:after="0" w:line="240" w:lineRule="auto"/>
        <w:jc w:val="both"/>
        <w:rPr>
          <w:rFonts w:ascii="Calibri" w:eastAsia="Times New Roman" w:hAnsi="Calibri" w:cs="Calibri"/>
          <w:b/>
          <w:color w:val="000000"/>
          <w:sz w:val="20"/>
          <w:szCs w:val="20"/>
          <w:lang w:eastAsia="es-CO"/>
        </w:rPr>
      </w:pPr>
      <w:r w:rsidRPr="00743757">
        <w:rPr>
          <w:rFonts w:ascii="Calibri" w:eastAsia="Times New Roman" w:hAnsi="Calibri" w:cs="Calibri"/>
          <w:bCs/>
          <w:color w:val="000000"/>
          <w:sz w:val="20"/>
          <w:szCs w:val="20"/>
          <w:lang w:eastAsia="es-CO"/>
        </w:rPr>
        <w:tab/>
      </w:r>
      <w:r w:rsidRPr="00743757">
        <w:rPr>
          <w:rFonts w:ascii="Calibri" w:eastAsia="Times New Roman" w:hAnsi="Calibri" w:cs="Calibri"/>
          <w:bCs/>
          <w:color w:val="000000"/>
          <w:sz w:val="20"/>
          <w:szCs w:val="20"/>
          <w:lang w:eastAsia="es-CO"/>
        </w:rPr>
        <w:tab/>
      </w:r>
      <w:r w:rsidR="00A01C1A" w:rsidRPr="00743757">
        <w:rPr>
          <w:rFonts w:ascii="Calibri" w:eastAsia="Times New Roman" w:hAnsi="Calibri" w:cs="Calibri"/>
          <w:bCs/>
          <w:color w:val="000000"/>
          <w:sz w:val="20"/>
          <w:szCs w:val="20"/>
          <w:lang w:eastAsia="es-CO"/>
        </w:rPr>
        <w:tab/>
      </w:r>
      <w:r w:rsidR="00A01C1A" w:rsidRPr="00113EB2">
        <w:rPr>
          <w:rFonts w:ascii="Calibri" w:eastAsia="Times New Roman" w:hAnsi="Calibri" w:cs="Calibri"/>
          <w:b/>
          <w:color w:val="000000"/>
          <w:sz w:val="20"/>
          <w:szCs w:val="20"/>
          <w:lang w:eastAsia="es-CO"/>
        </w:rPr>
        <w:tab/>
      </w:r>
      <w:r w:rsidRPr="00113EB2">
        <w:rPr>
          <w:rFonts w:ascii="Calibri" w:eastAsia="Times New Roman" w:hAnsi="Calibri" w:cs="Calibri"/>
          <w:b/>
          <w:color w:val="000000"/>
          <w:sz w:val="20"/>
          <w:szCs w:val="20"/>
          <w:lang w:eastAsia="es-CO"/>
        </w:rPr>
        <w:t>AMPARO Y. CALDERON PERDOMO</w:t>
      </w:r>
    </w:p>
    <w:p w14:paraId="2DD7F02A" w14:textId="201C1AA3" w:rsidR="00D04ABA" w:rsidRPr="00113EB2" w:rsidRDefault="00654984" w:rsidP="00843540">
      <w:pPr>
        <w:spacing w:after="0" w:line="240" w:lineRule="auto"/>
        <w:jc w:val="both"/>
        <w:rPr>
          <w:rFonts w:ascii="Calibri" w:eastAsia="Times New Roman" w:hAnsi="Calibri" w:cs="Calibri"/>
          <w:b/>
          <w:bCs/>
          <w:color w:val="000000"/>
          <w:sz w:val="20"/>
          <w:szCs w:val="20"/>
          <w:lang w:eastAsia="es-CO"/>
        </w:rPr>
        <w:sectPr w:rsidR="00D04ABA" w:rsidRPr="00113EB2" w:rsidSect="00D04ABA">
          <w:headerReference w:type="default" r:id="rId8"/>
          <w:footerReference w:type="default" r:id="rId9"/>
          <w:type w:val="continuous"/>
          <w:pgSz w:w="12240" w:h="15840"/>
          <w:pgMar w:top="1417" w:right="1701" w:bottom="1417" w:left="1701" w:header="708" w:footer="708" w:gutter="0"/>
          <w:cols w:space="708"/>
          <w:docGrid w:linePitch="360"/>
        </w:sectPr>
      </w:pPr>
      <w:r w:rsidRPr="00113EB2">
        <w:rPr>
          <w:rFonts w:ascii="Calibri" w:eastAsia="Times New Roman" w:hAnsi="Calibri" w:cs="Calibri"/>
          <w:color w:val="000000"/>
          <w:sz w:val="20"/>
          <w:szCs w:val="20"/>
          <w:lang w:eastAsia="es-CO"/>
        </w:rPr>
        <w:tab/>
      </w:r>
      <w:r w:rsidRPr="00113EB2">
        <w:rPr>
          <w:rFonts w:ascii="Calibri" w:eastAsia="Times New Roman" w:hAnsi="Calibri" w:cs="Calibri"/>
          <w:color w:val="000000"/>
          <w:sz w:val="20"/>
          <w:szCs w:val="20"/>
          <w:lang w:eastAsia="es-CO"/>
        </w:rPr>
        <w:tab/>
      </w:r>
      <w:r w:rsidRPr="00113EB2">
        <w:rPr>
          <w:rFonts w:ascii="Calibri" w:eastAsia="Times New Roman" w:hAnsi="Calibri" w:cs="Calibri"/>
          <w:color w:val="000000"/>
          <w:sz w:val="20"/>
          <w:szCs w:val="20"/>
          <w:lang w:eastAsia="es-CO"/>
        </w:rPr>
        <w:tab/>
      </w:r>
      <w:r w:rsidRPr="00113EB2">
        <w:rPr>
          <w:rFonts w:ascii="Calibri" w:eastAsia="Times New Roman" w:hAnsi="Calibri" w:cs="Calibri"/>
          <w:color w:val="000000"/>
          <w:sz w:val="20"/>
          <w:szCs w:val="20"/>
          <w:lang w:eastAsia="es-CO"/>
        </w:rPr>
        <w:tab/>
      </w:r>
      <w:r w:rsidR="00743757">
        <w:rPr>
          <w:rFonts w:ascii="Calibri" w:eastAsia="Times New Roman" w:hAnsi="Calibri" w:cs="Calibri"/>
          <w:color w:val="000000"/>
          <w:sz w:val="20"/>
          <w:szCs w:val="20"/>
          <w:lang w:eastAsia="es-CO"/>
        </w:rPr>
        <w:t xml:space="preserve">                 </w:t>
      </w:r>
      <w:r w:rsidR="00D10F3D" w:rsidRPr="00113EB2">
        <w:rPr>
          <w:rFonts w:ascii="Calibri" w:eastAsia="Times New Roman" w:hAnsi="Calibri" w:cs="Calibri"/>
          <w:color w:val="000000"/>
          <w:sz w:val="20"/>
          <w:szCs w:val="20"/>
          <w:lang w:eastAsia="es-CO"/>
        </w:rPr>
        <w:t xml:space="preserve">  </w:t>
      </w:r>
      <w:r w:rsidRPr="00113EB2">
        <w:rPr>
          <w:rFonts w:ascii="Calibri" w:eastAsia="Times New Roman" w:hAnsi="Calibri" w:cs="Calibri"/>
          <w:color w:val="000000"/>
          <w:sz w:val="20"/>
          <w:szCs w:val="20"/>
          <w:lang w:eastAsia="es-CO"/>
        </w:rPr>
        <w:t>Secretaria</w:t>
      </w:r>
    </w:p>
    <w:p w14:paraId="50254D14" w14:textId="77777777" w:rsidR="008E061B" w:rsidRPr="00113EB2" w:rsidRDefault="008E061B" w:rsidP="00843540">
      <w:pPr>
        <w:spacing w:before="45" w:after="15" w:line="276" w:lineRule="auto"/>
        <w:ind w:right="30"/>
        <w:jc w:val="both"/>
        <w:rPr>
          <w:rFonts w:ascii="Calibri" w:eastAsia="Times New Roman" w:hAnsi="Calibri" w:cs="Calibri"/>
          <w:color w:val="000000"/>
          <w:sz w:val="20"/>
          <w:szCs w:val="20"/>
          <w:lang w:eastAsia="es-CO"/>
        </w:rPr>
      </w:pPr>
    </w:p>
    <w:sectPr w:rsidR="008E061B" w:rsidRPr="00113EB2" w:rsidSect="004937A0">
      <w:type w:val="continuous"/>
      <w:pgSz w:w="12240" w:h="15840"/>
      <w:pgMar w:top="1417" w:right="1701" w:bottom="1417" w:left="1701"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FBC811" w14:textId="77777777" w:rsidR="00A4289E" w:rsidRDefault="00A4289E" w:rsidP="00F464B3">
      <w:pPr>
        <w:spacing w:after="0" w:line="240" w:lineRule="auto"/>
      </w:pPr>
      <w:r>
        <w:separator/>
      </w:r>
    </w:p>
  </w:endnote>
  <w:endnote w:type="continuationSeparator" w:id="0">
    <w:p w14:paraId="7C7D5179" w14:textId="77777777" w:rsidR="00A4289E" w:rsidRDefault="00A4289E" w:rsidP="00F46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FHUIW+TimesNewRomanPS-BoldMT">
    <w:altName w:val="BFHUIW+TimesNewRomanPS-BoldM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9363426"/>
      <w:docPartObj>
        <w:docPartGallery w:val="Page Numbers (Bottom of Page)"/>
        <w:docPartUnique/>
      </w:docPartObj>
    </w:sdtPr>
    <w:sdtEndPr/>
    <w:sdtContent>
      <w:p w14:paraId="66547B2C" w14:textId="2E9A1E76" w:rsidR="000643FE" w:rsidRDefault="000643FE">
        <w:pPr>
          <w:pStyle w:val="Piedepgina"/>
          <w:jc w:val="right"/>
        </w:pPr>
        <w:r>
          <w:fldChar w:fldCharType="begin"/>
        </w:r>
        <w:r>
          <w:instrText>PAGE   \* MERGEFORMAT</w:instrText>
        </w:r>
        <w:r>
          <w:fldChar w:fldCharType="separate"/>
        </w:r>
        <w:r w:rsidR="006A3F16" w:rsidRPr="006A3F16">
          <w:rPr>
            <w:noProof/>
            <w:lang w:val="es-ES"/>
          </w:rPr>
          <w:t>3</w:t>
        </w:r>
        <w:r>
          <w:fldChar w:fldCharType="end"/>
        </w:r>
      </w:p>
    </w:sdtContent>
  </w:sdt>
  <w:p w14:paraId="51ADA584" w14:textId="77777777" w:rsidR="000643FE" w:rsidRDefault="000643F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6B0B1D" w14:textId="77777777" w:rsidR="00A4289E" w:rsidRDefault="00A4289E" w:rsidP="00F464B3">
      <w:pPr>
        <w:spacing w:after="0" w:line="240" w:lineRule="auto"/>
      </w:pPr>
      <w:r>
        <w:separator/>
      </w:r>
    </w:p>
  </w:footnote>
  <w:footnote w:type="continuationSeparator" w:id="0">
    <w:p w14:paraId="376AA9A2" w14:textId="77777777" w:rsidR="00A4289E" w:rsidRDefault="00A4289E" w:rsidP="00F464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E33E99" w14:textId="77777777" w:rsidR="00E85BF5" w:rsidRDefault="00E85BF5" w:rsidP="00EC63B6">
    <w:pPr>
      <w:pStyle w:val="Encabezado"/>
      <w:jc w:val="center"/>
    </w:pPr>
    <w:r>
      <w:rPr>
        <w:noProof/>
        <w:lang w:eastAsia="es-CO"/>
      </w:rPr>
      <w:drawing>
        <wp:inline distT="0" distB="0" distL="0" distR="0" wp14:anchorId="4424CA66" wp14:editId="52757F20">
          <wp:extent cx="2286000" cy="670956"/>
          <wp:effectExtent l="0" t="0" r="0" b="0"/>
          <wp:docPr id="10" name="Imagen 10" descr="Entes Comisión legal de cuentas Cámara de Represent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s Comisión legal de cuentas Cámara de Representantes"/>
                  <pic:cNvPicPr>
                    <a:picLocks noChangeAspect="1" noChangeArrowheads="1"/>
                  </pic:cNvPicPr>
                </pic:nvPicPr>
                <pic:blipFill rotWithShape="1">
                  <a:blip r:embed="rId1">
                    <a:extLst>
                      <a:ext uri="{28A0092B-C50C-407E-A947-70E740481C1C}">
                        <a14:useLocalDpi xmlns:a14="http://schemas.microsoft.com/office/drawing/2010/main" val="0"/>
                      </a:ext>
                    </a:extLst>
                  </a:blip>
                  <a:srcRect l="8851" t="19290" r="11886" b="23326"/>
                  <a:stretch/>
                </pic:blipFill>
                <pic:spPr bwMode="auto">
                  <a:xfrm>
                    <a:off x="0" y="0"/>
                    <a:ext cx="2339192" cy="686568"/>
                  </a:xfrm>
                  <a:prstGeom prst="rect">
                    <a:avLst/>
                  </a:prstGeom>
                  <a:noFill/>
                  <a:ln>
                    <a:noFill/>
                  </a:ln>
                  <a:extLst>
                    <a:ext uri="{53640926-AAD7-44D8-BBD7-CCE9431645EC}">
                      <a14:shadowObscured xmlns:a14="http://schemas.microsoft.com/office/drawing/2010/main"/>
                    </a:ext>
                  </a:extLst>
                </pic:spPr>
              </pic:pic>
            </a:graphicData>
          </a:graphic>
        </wp:inline>
      </w:drawing>
    </w:r>
  </w:p>
  <w:p w14:paraId="4BE57F8C" w14:textId="77777777" w:rsidR="00E85BF5" w:rsidRDefault="00E85BF5" w:rsidP="00EC63B6">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76AB2"/>
    <w:multiLevelType w:val="multilevel"/>
    <w:tmpl w:val="1C56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400550"/>
    <w:multiLevelType w:val="hybridMultilevel"/>
    <w:tmpl w:val="E5A8F21A"/>
    <w:lvl w:ilvl="0" w:tplc="4BE03B94">
      <w:start w:val="1"/>
      <w:numFmt w:val="decimal"/>
      <w:lvlText w:val="%1."/>
      <w:lvlJc w:val="left"/>
      <w:pPr>
        <w:ind w:left="570" w:hanging="360"/>
      </w:pPr>
      <w:rPr>
        <w:rFonts w:hint="default"/>
      </w:rPr>
    </w:lvl>
    <w:lvl w:ilvl="1" w:tplc="240A0019" w:tentative="1">
      <w:start w:val="1"/>
      <w:numFmt w:val="lowerLetter"/>
      <w:lvlText w:val="%2."/>
      <w:lvlJc w:val="left"/>
      <w:pPr>
        <w:ind w:left="1290" w:hanging="360"/>
      </w:pPr>
    </w:lvl>
    <w:lvl w:ilvl="2" w:tplc="240A001B" w:tentative="1">
      <w:start w:val="1"/>
      <w:numFmt w:val="lowerRoman"/>
      <w:lvlText w:val="%3."/>
      <w:lvlJc w:val="right"/>
      <w:pPr>
        <w:ind w:left="2010" w:hanging="180"/>
      </w:pPr>
    </w:lvl>
    <w:lvl w:ilvl="3" w:tplc="240A000F" w:tentative="1">
      <w:start w:val="1"/>
      <w:numFmt w:val="decimal"/>
      <w:lvlText w:val="%4."/>
      <w:lvlJc w:val="left"/>
      <w:pPr>
        <w:ind w:left="2730" w:hanging="360"/>
      </w:pPr>
    </w:lvl>
    <w:lvl w:ilvl="4" w:tplc="240A0019" w:tentative="1">
      <w:start w:val="1"/>
      <w:numFmt w:val="lowerLetter"/>
      <w:lvlText w:val="%5."/>
      <w:lvlJc w:val="left"/>
      <w:pPr>
        <w:ind w:left="3450" w:hanging="360"/>
      </w:pPr>
    </w:lvl>
    <w:lvl w:ilvl="5" w:tplc="240A001B" w:tentative="1">
      <w:start w:val="1"/>
      <w:numFmt w:val="lowerRoman"/>
      <w:lvlText w:val="%6."/>
      <w:lvlJc w:val="right"/>
      <w:pPr>
        <w:ind w:left="4170" w:hanging="180"/>
      </w:pPr>
    </w:lvl>
    <w:lvl w:ilvl="6" w:tplc="240A000F" w:tentative="1">
      <w:start w:val="1"/>
      <w:numFmt w:val="decimal"/>
      <w:lvlText w:val="%7."/>
      <w:lvlJc w:val="left"/>
      <w:pPr>
        <w:ind w:left="4890" w:hanging="360"/>
      </w:pPr>
    </w:lvl>
    <w:lvl w:ilvl="7" w:tplc="240A0019" w:tentative="1">
      <w:start w:val="1"/>
      <w:numFmt w:val="lowerLetter"/>
      <w:lvlText w:val="%8."/>
      <w:lvlJc w:val="left"/>
      <w:pPr>
        <w:ind w:left="5610" w:hanging="360"/>
      </w:pPr>
    </w:lvl>
    <w:lvl w:ilvl="8" w:tplc="240A001B" w:tentative="1">
      <w:start w:val="1"/>
      <w:numFmt w:val="lowerRoman"/>
      <w:lvlText w:val="%9."/>
      <w:lvlJc w:val="right"/>
      <w:pPr>
        <w:ind w:left="6330" w:hanging="180"/>
      </w:pPr>
    </w:lvl>
  </w:abstractNum>
  <w:abstractNum w:abstractNumId="2">
    <w:nsid w:val="28435C3F"/>
    <w:multiLevelType w:val="hybridMultilevel"/>
    <w:tmpl w:val="90FEE58E"/>
    <w:lvl w:ilvl="0" w:tplc="520CEB62">
      <w:start w:val="2"/>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48CB4C72"/>
    <w:multiLevelType w:val="multilevel"/>
    <w:tmpl w:val="FF9EDCAC"/>
    <w:lvl w:ilvl="0">
      <w:start w:val="1"/>
      <w:numFmt w:val="lowerRoman"/>
      <w:lvlText w:val="%1)"/>
      <w:lvlJc w:val="left"/>
      <w:pPr>
        <w:ind w:left="1997" w:hanging="720"/>
      </w:pPr>
      <w:rPr>
        <w:b/>
      </w:rPr>
    </w:lvl>
    <w:lvl w:ilvl="1">
      <w:start w:val="1"/>
      <w:numFmt w:val="lowerLetter"/>
      <w:lvlText w:val="%2."/>
      <w:lvlJc w:val="left"/>
      <w:pPr>
        <w:ind w:left="2357" w:hanging="360"/>
      </w:pPr>
    </w:lvl>
    <w:lvl w:ilvl="2">
      <w:start w:val="1"/>
      <w:numFmt w:val="lowerRoman"/>
      <w:lvlText w:val="%3."/>
      <w:lvlJc w:val="right"/>
      <w:pPr>
        <w:ind w:left="3077" w:hanging="180"/>
      </w:pPr>
    </w:lvl>
    <w:lvl w:ilvl="3">
      <w:start w:val="1"/>
      <w:numFmt w:val="decimal"/>
      <w:lvlText w:val="%4."/>
      <w:lvlJc w:val="left"/>
      <w:pPr>
        <w:ind w:left="3797" w:hanging="360"/>
      </w:pPr>
    </w:lvl>
    <w:lvl w:ilvl="4">
      <w:start w:val="1"/>
      <w:numFmt w:val="lowerLetter"/>
      <w:lvlText w:val="%5."/>
      <w:lvlJc w:val="left"/>
      <w:pPr>
        <w:ind w:left="4517" w:hanging="360"/>
      </w:pPr>
    </w:lvl>
    <w:lvl w:ilvl="5">
      <w:start w:val="1"/>
      <w:numFmt w:val="lowerRoman"/>
      <w:lvlText w:val="%6."/>
      <w:lvlJc w:val="right"/>
      <w:pPr>
        <w:ind w:left="5237" w:hanging="180"/>
      </w:pPr>
    </w:lvl>
    <w:lvl w:ilvl="6">
      <w:start w:val="1"/>
      <w:numFmt w:val="decimal"/>
      <w:lvlText w:val="%7."/>
      <w:lvlJc w:val="left"/>
      <w:pPr>
        <w:ind w:left="5957" w:hanging="360"/>
      </w:pPr>
    </w:lvl>
    <w:lvl w:ilvl="7">
      <w:start w:val="1"/>
      <w:numFmt w:val="lowerLetter"/>
      <w:lvlText w:val="%8."/>
      <w:lvlJc w:val="left"/>
      <w:pPr>
        <w:ind w:left="6677" w:hanging="360"/>
      </w:pPr>
    </w:lvl>
    <w:lvl w:ilvl="8">
      <w:start w:val="1"/>
      <w:numFmt w:val="lowerRoman"/>
      <w:lvlText w:val="%9."/>
      <w:lvlJc w:val="right"/>
      <w:pPr>
        <w:ind w:left="7397" w:hanging="180"/>
      </w:pPr>
    </w:lvl>
  </w:abstractNum>
  <w:abstractNum w:abstractNumId="4">
    <w:nsid w:val="4E677B73"/>
    <w:multiLevelType w:val="multilevel"/>
    <w:tmpl w:val="940E5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740858"/>
    <w:multiLevelType w:val="multilevel"/>
    <w:tmpl w:val="176A847C"/>
    <w:lvl w:ilvl="0">
      <w:start w:val="1"/>
      <w:numFmt w:val="lowerRoman"/>
      <w:lvlText w:val="%1)"/>
      <w:lvlJc w:val="left"/>
      <w:pPr>
        <w:ind w:left="578" w:hanging="720"/>
      </w:pPr>
      <w:rPr>
        <w:b/>
        <w:u w:val="none"/>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6">
    <w:nsid w:val="5EF81EE9"/>
    <w:multiLevelType w:val="hybridMultilevel"/>
    <w:tmpl w:val="DA2A2F60"/>
    <w:lvl w:ilvl="0" w:tplc="0409000F">
      <w:start w:val="1"/>
      <w:numFmt w:val="decimal"/>
      <w:lvlText w:val="%1."/>
      <w:lvlJc w:val="left"/>
      <w:pPr>
        <w:ind w:left="1650" w:hanging="360"/>
      </w:p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7">
    <w:nsid w:val="70FC316F"/>
    <w:multiLevelType w:val="multilevel"/>
    <w:tmpl w:val="78D4DAE2"/>
    <w:lvl w:ilvl="0">
      <w:start w:val="1"/>
      <w:numFmt w:val="lowerRoman"/>
      <w:lvlText w:val="%1)"/>
      <w:lvlJc w:val="left"/>
      <w:pPr>
        <w:ind w:left="1571" w:hanging="720"/>
      </w:pPr>
      <w:rPr>
        <w:b/>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8">
    <w:nsid w:val="754E0834"/>
    <w:multiLevelType w:val="hybridMultilevel"/>
    <w:tmpl w:val="E05CA50E"/>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9">
    <w:nsid w:val="776C2E79"/>
    <w:multiLevelType w:val="multilevel"/>
    <w:tmpl w:val="A6C0ADE4"/>
    <w:lvl w:ilvl="0">
      <w:start w:val="1"/>
      <w:numFmt w:val="lowerRoman"/>
      <w:lvlText w:val="%1)"/>
      <w:lvlJc w:val="left"/>
      <w:pPr>
        <w:ind w:left="1080" w:hanging="720"/>
      </w:pPr>
      <w:rPr>
        <w:b/>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8"/>
  </w:num>
  <w:num w:numId="6">
    <w:abstractNumId w:val="6"/>
  </w:num>
  <w:num w:numId="7">
    <w:abstractNumId w:val="7"/>
  </w:num>
  <w:num w:numId="8">
    <w:abstractNumId w:val="3"/>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E10"/>
    <w:rsid w:val="00011F87"/>
    <w:rsid w:val="000124B8"/>
    <w:rsid w:val="000179F1"/>
    <w:rsid w:val="0002009E"/>
    <w:rsid w:val="00034368"/>
    <w:rsid w:val="000347ED"/>
    <w:rsid w:val="000464AE"/>
    <w:rsid w:val="000603D3"/>
    <w:rsid w:val="000643FE"/>
    <w:rsid w:val="00066A9D"/>
    <w:rsid w:val="000674CE"/>
    <w:rsid w:val="00076C38"/>
    <w:rsid w:val="00083C33"/>
    <w:rsid w:val="0009516F"/>
    <w:rsid w:val="000A7951"/>
    <w:rsid w:val="000C07C9"/>
    <w:rsid w:val="000C1779"/>
    <w:rsid w:val="000C51CB"/>
    <w:rsid w:val="000E11C2"/>
    <w:rsid w:val="000E2CB1"/>
    <w:rsid w:val="000E4E9C"/>
    <w:rsid w:val="000F0D59"/>
    <w:rsid w:val="00102396"/>
    <w:rsid w:val="001051B9"/>
    <w:rsid w:val="00111BA6"/>
    <w:rsid w:val="00113EB2"/>
    <w:rsid w:val="001176BD"/>
    <w:rsid w:val="00124F86"/>
    <w:rsid w:val="0012607A"/>
    <w:rsid w:val="001412D4"/>
    <w:rsid w:val="00146466"/>
    <w:rsid w:val="0015426D"/>
    <w:rsid w:val="0015777F"/>
    <w:rsid w:val="001645A1"/>
    <w:rsid w:val="00170E01"/>
    <w:rsid w:val="00175521"/>
    <w:rsid w:val="001B11A0"/>
    <w:rsid w:val="001B24AF"/>
    <w:rsid w:val="001B3073"/>
    <w:rsid w:val="001C4B0B"/>
    <w:rsid w:val="001E1FFE"/>
    <w:rsid w:val="001E3F0C"/>
    <w:rsid w:val="001F3415"/>
    <w:rsid w:val="0020236F"/>
    <w:rsid w:val="00204548"/>
    <w:rsid w:val="0021529A"/>
    <w:rsid w:val="002419BE"/>
    <w:rsid w:val="002446B7"/>
    <w:rsid w:val="00255EEB"/>
    <w:rsid w:val="0025745F"/>
    <w:rsid w:val="00265C75"/>
    <w:rsid w:val="00266F05"/>
    <w:rsid w:val="002733E9"/>
    <w:rsid w:val="00281E60"/>
    <w:rsid w:val="00283BF7"/>
    <w:rsid w:val="002960E0"/>
    <w:rsid w:val="00296DD2"/>
    <w:rsid w:val="002A16FF"/>
    <w:rsid w:val="002B0A6E"/>
    <w:rsid w:val="002B3FA6"/>
    <w:rsid w:val="002B5DE3"/>
    <w:rsid w:val="002C2736"/>
    <w:rsid w:val="002C313D"/>
    <w:rsid w:val="002D36BF"/>
    <w:rsid w:val="002E4EEE"/>
    <w:rsid w:val="002F570D"/>
    <w:rsid w:val="002F603A"/>
    <w:rsid w:val="003048FD"/>
    <w:rsid w:val="00310BD0"/>
    <w:rsid w:val="00316E7C"/>
    <w:rsid w:val="00321E0D"/>
    <w:rsid w:val="003455CB"/>
    <w:rsid w:val="00352BB2"/>
    <w:rsid w:val="003572F2"/>
    <w:rsid w:val="003652A3"/>
    <w:rsid w:val="00370333"/>
    <w:rsid w:val="00371367"/>
    <w:rsid w:val="00374B50"/>
    <w:rsid w:val="003756F8"/>
    <w:rsid w:val="00376461"/>
    <w:rsid w:val="003775E6"/>
    <w:rsid w:val="00382D7B"/>
    <w:rsid w:val="003831CF"/>
    <w:rsid w:val="003877D7"/>
    <w:rsid w:val="003B2CD7"/>
    <w:rsid w:val="003D37C7"/>
    <w:rsid w:val="003F22E4"/>
    <w:rsid w:val="003F7482"/>
    <w:rsid w:val="00403989"/>
    <w:rsid w:val="004325B6"/>
    <w:rsid w:val="00435772"/>
    <w:rsid w:val="00442EE9"/>
    <w:rsid w:val="004721F2"/>
    <w:rsid w:val="00472F92"/>
    <w:rsid w:val="0048299A"/>
    <w:rsid w:val="00484D12"/>
    <w:rsid w:val="004937A0"/>
    <w:rsid w:val="004961B6"/>
    <w:rsid w:val="004A329B"/>
    <w:rsid w:val="004A6139"/>
    <w:rsid w:val="004B48A7"/>
    <w:rsid w:val="004C32FC"/>
    <w:rsid w:val="004C59FD"/>
    <w:rsid w:val="004D48F0"/>
    <w:rsid w:val="004D55BD"/>
    <w:rsid w:val="004E422C"/>
    <w:rsid w:val="004F085C"/>
    <w:rsid w:val="004F4257"/>
    <w:rsid w:val="004F49B6"/>
    <w:rsid w:val="004F60B8"/>
    <w:rsid w:val="004F73D2"/>
    <w:rsid w:val="00503E9D"/>
    <w:rsid w:val="00513DF8"/>
    <w:rsid w:val="00522F83"/>
    <w:rsid w:val="0052444F"/>
    <w:rsid w:val="00534203"/>
    <w:rsid w:val="00535D72"/>
    <w:rsid w:val="00536B96"/>
    <w:rsid w:val="00540083"/>
    <w:rsid w:val="00541008"/>
    <w:rsid w:val="0054647E"/>
    <w:rsid w:val="005517F3"/>
    <w:rsid w:val="00561943"/>
    <w:rsid w:val="00574941"/>
    <w:rsid w:val="00582813"/>
    <w:rsid w:val="0058657B"/>
    <w:rsid w:val="005A0005"/>
    <w:rsid w:val="005A3D78"/>
    <w:rsid w:val="005A576B"/>
    <w:rsid w:val="005A5952"/>
    <w:rsid w:val="005B2210"/>
    <w:rsid w:val="005B4EAE"/>
    <w:rsid w:val="005C0843"/>
    <w:rsid w:val="005C0A22"/>
    <w:rsid w:val="005C5BAD"/>
    <w:rsid w:val="005C7D3E"/>
    <w:rsid w:val="005D2F81"/>
    <w:rsid w:val="005D3C35"/>
    <w:rsid w:val="005F3B9E"/>
    <w:rsid w:val="005F5FEC"/>
    <w:rsid w:val="005F7247"/>
    <w:rsid w:val="00601F0E"/>
    <w:rsid w:val="00607725"/>
    <w:rsid w:val="006343BF"/>
    <w:rsid w:val="006417DE"/>
    <w:rsid w:val="00642EF5"/>
    <w:rsid w:val="006438E1"/>
    <w:rsid w:val="00654984"/>
    <w:rsid w:val="00665A9C"/>
    <w:rsid w:val="006724A9"/>
    <w:rsid w:val="0067281A"/>
    <w:rsid w:val="00674456"/>
    <w:rsid w:val="0067455E"/>
    <w:rsid w:val="0067641E"/>
    <w:rsid w:val="0067740C"/>
    <w:rsid w:val="0068080C"/>
    <w:rsid w:val="00682C1C"/>
    <w:rsid w:val="0068369B"/>
    <w:rsid w:val="006915E1"/>
    <w:rsid w:val="0069258E"/>
    <w:rsid w:val="0069360F"/>
    <w:rsid w:val="00696073"/>
    <w:rsid w:val="006A3F16"/>
    <w:rsid w:val="006A7638"/>
    <w:rsid w:val="006B58CF"/>
    <w:rsid w:val="006C244C"/>
    <w:rsid w:val="006C3E27"/>
    <w:rsid w:val="006D23D9"/>
    <w:rsid w:val="006D7439"/>
    <w:rsid w:val="006E0408"/>
    <w:rsid w:val="006F1E48"/>
    <w:rsid w:val="006F2E70"/>
    <w:rsid w:val="006F309E"/>
    <w:rsid w:val="0071209F"/>
    <w:rsid w:val="007126A5"/>
    <w:rsid w:val="00730794"/>
    <w:rsid w:val="00736FFD"/>
    <w:rsid w:val="00743757"/>
    <w:rsid w:val="0075240B"/>
    <w:rsid w:val="0077125D"/>
    <w:rsid w:val="00773E0C"/>
    <w:rsid w:val="007A44E4"/>
    <w:rsid w:val="007A618A"/>
    <w:rsid w:val="007B4F50"/>
    <w:rsid w:val="007C1076"/>
    <w:rsid w:val="007C74A7"/>
    <w:rsid w:val="007D21A4"/>
    <w:rsid w:val="007D3408"/>
    <w:rsid w:val="007E2712"/>
    <w:rsid w:val="007F0327"/>
    <w:rsid w:val="007F0C6E"/>
    <w:rsid w:val="007F1D24"/>
    <w:rsid w:val="00810675"/>
    <w:rsid w:val="00815277"/>
    <w:rsid w:val="00834B6E"/>
    <w:rsid w:val="00843540"/>
    <w:rsid w:val="00851377"/>
    <w:rsid w:val="00852190"/>
    <w:rsid w:val="008522C4"/>
    <w:rsid w:val="0085794F"/>
    <w:rsid w:val="00863BBB"/>
    <w:rsid w:val="00863D4B"/>
    <w:rsid w:val="0087039C"/>
    <w:rsid w:val="00871444"/>
    <w:rsid w:val="008857A6"/>
    <w:rsid w:val="00896F08"/>
    <w:rsid w:val="008C3F1F"/>
    <w:rsid w:val="008D6682"/>
    <w:rsid w:val="008E061B"/>
    <w:rsid w:val="008F02EB"/>
    <w:rsid w:val="00910DAC"/>
    <w:rsid w:val="00915C0D"/>
    <w:rsid w:val="00927330"/>
    <w:rsid w:val="0092744F"/>
    <w:rsid w:val="00927AE4"/>
    <w:rsid w:val="009304B1"/>
    <w:rsid w:val="009544D9"/>
    <w:rsid w:val="0095551B"/>
    <w:rsid w:val="009637DF"/>
    <w:rsid w:val="00963E30"/>
    <w:rsid w:val="009824EF"/>
    <w:rsid w:val="00984F42"/>
    <w:rsid w:val="009932F1"/>
    <w:rsid w:val="00993BB4"/>
    <w:rsid w:val="009A5162"/>
    <w:rsid w:val="009B645A"/>
    <w:rsid w:val="009D5F41"/>
    <w:rsid w:val="009E41A8"/>
    <w:rsid w:val="009F0E10"/>
    <w:rsid w:val="00A01305"/>
    <w:rsid w:val="00A01C1A"/>
    <w:rsid w:val="00A10EF1"/>
    <w:rsid w:val="00A11E04"/>
    <w:rsid w:val="00A177FA"/>
    <w:rsid w:val="00A256E7"/>
    <w:rsid w:val="00A3364D"/>
    <w:rsid w:val="00A34192"/>
    <w:rsid w:val="00A4289E"/>
    <w:rsid w:val="00A46A7B"/>
    <w:rsid w:val="00A52DC6"/>
    <w:rsid w:val="00A574C3"/>
    <w:rsid w:val="00A83DAE"/>
    <w:rsid w:val="00AC2BEA"/>
    <w:rsid w:val="00AD02C7"/>
    <w:rsid w:val="00AE120F"/>
    <w:rsid w:val="00AE1255"/>
    <w:rsid w:val="00AE1660"/>
    <w:rsid w:val="00B06E58"/>
    <w:rsid w:val="00B14CEC"/>
    <w:rsid w:val="00B17C11"/>
    <w:rsid w:val="00B2028B"/>
    <w:rsid w:val="00B22913"/>
    <w:rsid w:val="00B303DE"/>
    <w:rsid w:val="00B30A0D"/>
    <w:rsid w:val="00B32722"/>
    <w:rsid w:val="00B53D70"/>
    <w:rsid w:val="00B63D2A"/>
    <w:rsid w:val="00B64D54"/>
    <w:rsid w:val="00B75203"/>
    <w:rsid w:val="00B965E5"/>
    <w:rsid w:val="00BA0A1A"/>
    <w:rsid w:val="00BA4E0B"/>
    <w:rsid w:val="00BB3A4B"/>
    <w:rsid w:val="00BB5149"/>
    <w:rsid w:val="00BE1480"/>
    <w:rsid w:val="00BE5428"/>
    <w:rsid w:val="00BE634C"/>
    <w:rsid w:val="00BF34E3"/>
    <w:rsid w:val="00BF4F92"/>
    <w:rsid w:val="00BF6C85"/>
    <w:rsid w:val="00C00899"/>
    <w:rsid w:val="00C01196"/>
    <w:rsid w:val="00C05986"/>
    <w:rsid w:val="00C05FE9"/>
    <w:rsid w:val="00C10912"/>
    <w:rsid w:val="00C114EC"/>
    <w:rsid w:val="00C1685A"/>
    <w:rsid w:val="00C23433"/>
    <w:rsid w:val="00C23F57"/>
    <w:rsid w:val="00C24FC2"/>
    <w:rsid w:val="00C34BD1"/>
    <w:rsid w:val="00C5602A"/>
    <w:rsid w:val="00C66652"/>
    <w:rsid w:val="00C7069C"/>
    <w:rsid w:val="00C73EE9"/>
    <w:rsid w:val="00C75C7B"/>
    <w:rsid w:val="00C8272B"/>
    <w:rsid w:val="00C96031"/>
    <w:rsid w:val="00C960C4"/>
    <w:rsid w:val="00CA1934"/>
    <w:rsid w:val="00CA4DEE"/>
    <w:rsid w:val="00CA6B90"/>
    <w:rsid w:val="00CC21CA"/>
    <w:rsid w:val="00CC7223"/>
    <w:rsid w:val="00CD421B"/>
    <w:rsid w:val="00CE1606"/>
    <w:rsid w:val="00CE41FA"/>
    <w:rsid w:val="00CF3981"/>
    <w:rsid w:val="00CF4328"/>
    <w:rsid w:val="00CF672B"/>
    <w:rsid w:val="00D0215B"/>
    <w:rsid w:val="00D02286"/>
    <w:rsid w:val="00D04ABA"/>
    <w:rsid w:val="00D10F3D"/>
    <w:rsid w:val="00D10FDD"/>
    <w:rsid w:val="00D123B8"/>
    <w:rsid w:val="00D23552"/>
    <w:rsid w:val="00D27E9F"/>
    <w:rsid w:val="00D30881"/>
    <w:rsid w:val="00D3392D"/>
    <w:rsid w:val="00D35426"/>
    <w:rsid w:val="00D45EBF"/>
    <w:rsid w:val="00D56956"/>
    <w:rsid w:val="00D756CE"/>
    <w:rsid w:val="00D80A76"/>
    <w:rsid w:val="00D810CB"/>
    <w:rsid w:val="00DA3876"/>
    <w:rsid w:val="00DB34C5"/>
    <w:rsid w:val="00DB693E"/>
    <w:rsid w:val="00DC2ED4"/>
    <w:rsid w:val="00DC6A81"/>
    <w:rsid w:val="00DC6DE7"/>
    <w:rsid w:val="00DC7559"/>
    <w:rsid w:val="00DC7DDC"/>
    <w:rsid w:val="00DD654D"/>
    <w:rsid w:val="00DD7587"/>
    <w:rsid w:val="00E15245"/>
    <w:rsid w:val="00E325C3"/>
    <w:rsid w:val="00E359F6"/>
    <w:rsid w:val="00E53447"/>
    <w:rsid w:val="00E85BF5"/>
    <w:rsid w:val="00E90030"/>
    <w:rsid w:val="00EA320A"/>
    <w:rsid w:val="00EB2682"/>
    <w:rsid w:val="00EB3EBD"/>
    <w:rsid w:val="00EC34C5"/>
    <w:rsid w:val="00EC58FE"/>
    <w:rsid w:val="00EC63B6"/>
    <w:rsid w:val="00EC7055"/>
    <w:rsid w:val="00ED5628"/>
    <w:rsid w:val="00EE56A4"/>
    <w:rsid w:val="00EE78B1"/>
    <w:rsid w:val="00EF0082"/>
    <w:rsid w:val="00EF7F49"/>
    <w:rsid w:val="00F3324F"/>
    <w:rsid w:val="00F44E71"/>
    <w:rsid w:val="00F464B3"/>
    <w:rsid w:val="00F6249F"/>
    <w:rsid w:val="00F650A3"/>
    <w:rsid w:val="00F77611"/>
    <w:rsid w:val="00FA6727"/>
    <w:rsid w:val="00FC5B07"/>
    <w:rsid w:val="00FD6A7E"/>
    <w:rsid w:val="00FD789B"/>
    <w:rsid w:val="00FE3EE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41C18"/>
  <w15:docId w15:val="{18C341EE-4675-4BD7-9CF9-43EDB72E2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1"/>
    <w:qFormat/>
    <w:rsid w:val="007A44E4"/>
    <w:pPr>
      <w:widowControl w:val="0"/>
      <w:autoSpaceDE w:val="0"/>
      <w:autoSpaceDN w:val="0"/>
      <w:spacing w:before="90" w:after="0" w:line="240" w:lineRule="auto"/>
      <w:ind w:left="100"/>
      <w:jc w:val="both"/>
      <w:outlineLvl w:val="0"/>
    </w:pPr>
    <w:rPr>
      <w:rFonts w:ascii="Times New Roman" w:eastAsia="Times New Roman" w:hAnsi="Times New Roman" w:cs="Times New Roman"/>
      <w:b/>
      <w:bCs/>
      <w:sz w:val="24"/>
      <w:szCs w:val="24"/>
      <w:u w:val="single" w:color="000000"/>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s">
    <w:name w:val="t-tul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nunciados">
    <w:name w:val="enunciad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los-gacetasp-rrafos">
    <w:name w:val="estlos-gacetas_p-rraf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7">
    <w:name w:val="charoverride-7"/>
    <w:basedOn w:val="Fuentedeprrafopredeter"/>
    <w:rsid w:val="009F0E10"/>
  </w:style>
  <w:style w:type="character" w:customStyle="1" w:styleId="charoverride-8">
    <w:name w:val="charoverride-8"/>
    <w:basedOn w:val="Fuentedeprrafopredeter"/>
    <w:rsid w:val="009F0E10"/>
  </w:style>
  <w:style w:type="paragraph" w:customStyle="1" w:styleId="estlos-gacetasp-rrafos---tabulado">
    <w:name w:val="estlos-gacetas_p-rrafos---tabulado"/>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9">
    <w:name w:val="charoverride-9"/>
    <w:basedOn w:val="Fuentedeprrafopredeter"/>
    <w:rsid w:val="009F0E10"/>
  </w:style>
  <w:style w:type="paragraph" w:customStyle="1" w:styleId="tablastitulo-tabla">
    <w:name w:val="tablas_titul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ablastexto-tabla">
    <w:name w:val="tablas_text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10">
    <w:name w:val="charoverride-10"/>
    <w:basedOn w:val="Fuentedeprrafopredeter"/>
    <w:rsid w:val="009F0E10"/>
  </w:style>
  <w:style w:type="character" w:styleId="Hipervnculo">
    <w:name w:val="Hyperlink"/>
    <w:basedOn w:val="Fuentedeprrafopredeter"/>
    <w:uiPriority w:val="99"/>
    <w:semiHidden/>
    <w:unhideWhenUsed/>
    <w:rsid w:val="009F0E10"/>
    <w:rPr>
      <w:color w:val="0000FF"/>
      <w:u w:val="single"/>
    </w:rPr>
  </w:style>
  <w:style w:type="character" w:customStyle="1" w:styleId="charoverride-11">
    <w:name w:val="charoverride-11"/>
    <w:basedOn w:val="Fuentedeprrafopredeter"/>
    <w:rsid w:val="009F0E10"/>
  </w:style>
  <w:style w:type="character" w:customStyle="1" w:styleId="charoverride-12">
    <w:name w:val="charoverride-12"/>
    <w:basedOn w:val="Fuentedeprrafopredeter"/>
    <w:rsid w:val="009F0E10"/>
  </w:style>
  <w:style w:type="character" w:customStyle="1" w:styleId="charoverride-13">
    <w:name w:val="charoverride-13"/>
    <w:basedOn w:val="Fuentedeprrafopredeter"/>
    <w:rsid w:val="009F0E10"/>
  </w:style>
  <w:style w:type="character" w:customStyle="1" w:styleId="charoverride-14">
    <w:name w:val="charoverride-14"/>
    <w:basedOn w:val="Fuentedeprrafopredeter"/>
    <w:rsid w:val="009F0E10"/>
  </w:style>
  <w:style w:type="paragraph" w:customStyle="1" w:styleId="estlos-gacetaspies-de-p-ginas">
    <w:name w:val="estlos-gacetas_pies-de-p-gina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uperindice">
    <w:name w:val="superindice"/>
    <w:basedOn w:val="Fuentedeprrafopredeter"/>
    <w:rsid w:val="009F0E10"/>
  </w:style>
  <w:style w:type="character" w:customStyle="1" w:styleId="Hipervnculo1">
    <w:name w:val="Hipervínculo1"/>
    <w:basedOn w:val="Fuentedeprrafopredeter"/>
    <w:rsid w:val="009F0E10"/>
  </w:style>
  <w:style w:type="paragraph" w:styleId="Prrafodelista">
    <w:name w:val="List Paragraph"/>
    <w:basedOn w:val="Normal"/>
    <w:uiPriority w:val="34"/>
    <w:qFormat/>
    <w:rsid w:val="009F0E10"/>
    <w:pPr>
      <w:ind w:left="720"/>
      <w:contextualSpacing/>
    </w:pPr>
  </w:style>
  <w:style w:type="paragraph" w:customStyle="1" w:styleId="Default">
    <w:name w:val="Default"/>
    <w:rsid w:val="00540083"/>
    <w:pPr>
      <w:autoSpaceDE w:val="0"/>
      <w:autoSpaceDN w:val="0"/>
      <w:adjustRightInd w:val="0"/>
      <w:spacing w:after="0" w:line="240" w:lineRule="auto"/>
    </w:pPr>
    <w:rPr>
      <w:rFonts w:ascii="BFHUIW+TimesNewRomanPS-BoldMT" w:hAnsi="BFHUIW+TimesNewRomanPS-BoldMT" w:cs="BFHUIW+TimesNewRomanPS-BoldMT"/>
      <w:color w:val="000000"/>
      <w:sz w:val="24"/>
      <w:szCs w:val="24"/>
      <w:lang w:val="en-US"/>
    </w:rPr>
  </w:style>
  <w:style w:type="character" w:styleId="Refdecomentario">
    <w:name w:val="annotation reference"/>
    <w:basedOn w:val="Fuentedeprrafopredeter"/>
    <w:uiPriority w:val="99"/>
    <w:semiHidden/>
    <w:unhideWhenUsed/>
    <w:rsid w:val="009A5162"/>
    <w:rPr>
      <w:sz w:val="16"/>
      <w:szCs w:val="16"/>
    </w:rPr>
  </w:style>
  <w:style w:type="paragraph" w:styleId="Textocomentario">
    <w:name w:val="annotation text"/>
    <w:basedOn w:val="Normal"/>
    <w:link w:val="TextocomentarioCar"/>
    <w:uiPriority w:val="99"/>
    <w:unhideWhenUsed/>
    <w:rsid w:val="00AC2BEA"/>
    <w:pPr>
      <w:spacing w:line="240" w:lineRule="auto"/>
    </w:pPr>
    <w:rPr>
      <w:sz w:val="20"/>
      <w:szCs w:val="20"/>
      <w:lang w:val="en-US"/>
    </w:rPr>
  </w:style>
  <w:style w:type="character" w:customStyle="1" w:styleId="TextocomentarioCar">
    <w:name w:val="Texto comentario Car"/>
    <w:basedOn w:val="Fuentedeprrafopredeter"/>
    <w:link w:val="Textocomentario"/>
    <w:uiPriority w:val="99"/>
    <w:rsid w:val="00AC2BEA"/>
    <w:rPr>
      <w:sz w:val="20"/>
      <w:szCs w:val="20"/>
      <w:lang w:val="en-US"/>
    </w:rPr>
  </w:style>
  <w:style w:type="paragraph" w:styleId="Textonotapie">
    <w:name w:val="footnote text"/>
    <w:aliases w:val="Footnote Text Char Char Char Char Char,Footnote Text Char Char Char Char,Ref. de nota al pie1,FA Fu,Footnote Text Char Char Char,Footnote Text Char Char Char Char Char Char Char Char,texto de nota al pi,Ref. de nota al pie11,Pie de Página"/>
    <w:basedOn w:val="Normal"/>
    <w:link w:val="TextonotapieCar"/>
    <w:uiPriority w:val="99"/>
    <w:unhideWhenUsed/>
    <w:qFormat/>
    <w:rsid w:val="00F464B3"/>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Footnote Text Char Char Char Char Char Car,Footnote Text Char Char Char Char Car,Ref. de nota al pie1 Car,FA Fu Car,Footnote Text Char Char Char Car,Footnote Text Char Char Char Char Char Char Char Char Car,texto de nota al pi Car"/>
    <w:basedOn w:val="Fuentedeprrafopredeter"/>
    <w:link w:val="Textonotapie"/>
    <w:uiPriority w:val="99"/>
    <w:rsid w:val="00F464B3"/>
    <w:rPr>
      <w:rFonts w:ascii="Times New Roman" w:eastAsia="Times New Roman" w:hAnsi="Times New Roman" w:cs="Times New Roman"/>
      <w:sz w:val="20"/>
      <w:szCs w:val="20"/>
      <w:lang w:eastAsia="es-ES"/>
    </w:rPr>
  </w:style>
  <w:style w:type="character" w:styleId="Refdenotaalpie">
    <w:name w:val="footnote reference"/>
    <w:aliases w:val="Texto de nota al pie,referencia nota al pie,Footnotes refss,Ref. de nota al pie 2,Fago Fußnotenzeichen,Appel note de bas de page,Texto nota pie Car2,Footnote Text Char Char Char Char Char Car1,Footnote Text Char Char Char Char Car1,f"/>
    <w:basedOn w:val="Fuentedeprrafopredeter"/>
    <w:uiPriority w:val="99"/>
    <w:unhideWhenUsed/>
    <w:rsid w:val="00F464B3"/>
    <w:rPr>
      <w:vertAlign w:val="superscript"/>
    </w:rPr>
  </w:style>
  <w:style w:type="paragraph" w:styleId="Encabezado">
    <w:name w:val="header"/>
    <w:basedOn w:val="Normal"/>
    <w:link w:val="EncabezadoCar"/>
    <w:uiPriority w:val="99"/>
    <w:unhideWhenUsed/>
    <w:rsid w:val="00EC63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63B6"/>
  </w:style>
  <w:style w:type="paragraph" w:styleId="Piedepgina">
    <w:name w:val="footer"/>
    <w:basedOn w:val="Normal"/>
    <w:link w:val="PiedepginaCar"/>
    <w:uiPriority w:val="99"/>
    <w:unhideWhenUsed/>
    <w:rsid w:val="00EC63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63B6"/>
  </w:style>
  <w:style w:type="paragraph" w:styleId="Textodeglobo">
    <w:name w:val="Balloon Text"/>
    <w:basedOn w:val="Normal"/>
    <w:link w:val="TextodegloboCar"/>
    <w:uiPriority w:val="99"/>
    <w:semiHidden/>
    <w:unhideWhenUsed/>
    <w:rsid w:val="00BF4F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4F92"/>
    <w:rPr>
      <w:rFonts w:ascii="Tahoma" w:hAnsi="Tahoma" w:cs="Tahoma"/>
      <w:sz w:val="16"/>
      <w:szCs w:val="16"/>
    </w:rPr>
  </w:style>
  <w:style w:type="paragraph" w:styleId="Textoindependiente">
    <w:name w:val="Body Text"/>
    <w:basedOn w:val="Normal"/>
    <w:link w:val="TextoindependienteCar"/>
    <w:uiPriority w:val="1"/>
    <w:qFormat/>
    <w:rsid w:val="00896F08"/>
    <w:pPr>
      <w:widowControl w:val="0"/>
      <w:autoSpaceDE w:val="0"/>
      <w:autoSpaceDN w:val="0"/>
      <w:spacing w:after="0" w:line="240" w:lineRule="auto"/>
    </w:pPr>
    <w:rPr>
      <w:rFonts w:ascii="Times New Roman" w:eastAsia="Times New Roman" w:hAnsi="Times New Roman" w:cs="Times New Roman"/>
      <w:sz w:val="24"/>
      <w:szCs w:val="24"/>
      <w:lang w:val="es-ES" w:eastAsia="es-ES" w:bidi="es-ES"/>
    </w:rPr>
  </w:style>
  <w:style w:type="character" w:customStyle="1" w:styleId="TextoindependienteCar">
    <w:name w:val="Texto independiente Car"/>
    <w:basedOn w:val="Fuentedeprrafopredeter"/>
    <w:link w:val="Textoindependiente"/>
    <w:uiPriority w:val="1"/>
    <w:rsid w:val="00896F08"/>
    <w:rPr>
      <w:rFonts w:ascii="Times New Roman" w:eastAsia="Times New Roman" w:hAnsi="Times New Roman" w:cs="Times New Roman"/>
      <w:sz w:val="24"/>
      <w:szCs w:val="24"/>
      <w:lang w:val="es-ES" w:eastAsia="es-ES" w:bidi="es-ES"/>
    </w:rPr>
  </w:style>
  <w:style w:type="paragraph" w:styleId="Subttulo">
    <w:name w:val="Subtitle"/>
    <w:basedOn w:val="Normal"/>
    <w:next w:val="Normal"/>
    <w:link w:val="SubttuloCar"/>
    <w:uiPriority w:val="11"/>
    <w:qFormat/>
    <w:rsid w:val="005F5FEC"/>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uiPriority w:val="11"/>
    <w:rsid w:val="005F5FEC"/>
    <w:rPr>
      <w:rFonts w:asciiTheme="majorHAnsi" w:eastAsiaTheme="majorEastAsia" w:hAnsiTheme="majorHAnsi" w:cstheme="majorBidi"/>
      <w:i/>
      <w:iCs/>
      <w:color w:val="4472C4" w:themeColor="accent1"/>
      <w:spacing w:val="15"/>
      <w:sz w:val="24"/>
      <w:szCs w:val="24"/>
    </w:rPr>
  </w:style>
  <w:style w:type="character" w:customStyle="1" w:styleId="Ttulo1Car">
    <w:name w:val="Título 1 Car"/>
    <w:basedOn w:val="Fuentedeprrafopredeter"/>
    <w:link w:val="Ttulo1"/>
    <w:uiPriority w:val="1"/>
    <w:rsid w:val="007A44E4"/>
    <w:rPr>
      <w:rFonts w:ascii="Times New Roman" w:eastAsia="Times New Roman" w:hAnsi="Times New Roman" w:cs="Times New Roman"/>
      <w:b/>
      <w:bCs/>
      <w:sz w:val="24"/>
      <w:szCs w:val="24"/>
      <w:u w:val="single" w:color="000000"/>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013884">
      <w:bodyDiv w:val="1"/>
      <w:marLeft w:val="0"/>
      <w:marRight w:val="0"/>
      <w:marTop w:val="0"/>
      <w:marBottom w:val="0"/>
      <w:divBdr>
        <w:top w:val="none" w:sz="0" w:space="0" w:color="auto"/>
        <w:left w:val="none" w:sz="0" w:space="0" w:color="auto"/>
        <w:bottom w:val="none" w:sz="0" w:space="0" w:color="auto"/>
        <w:right w:val="none" w:sz="0" w:space="0" w:color="auto"/>
      </w:divBdr>
      <w:divsChild>
        <w:div w:id="785393328">
          <w:marLeft w:val="0"/>
          <w:marRight w:val="0"/>
          <w:marTop w:val="0"/>
          <w:marBottom w:val="0"/>
          <w:divBdr>
            <w:top w:val="none" w:sz="0" w:space="0" w:color="auto"/>
            <w:left w:val="none" w:sz="0" w:space="0" w:color="auto"/>
            <w:bottom w:val="none" w:sz="0" w:space="0" w:color="auto"/>
            <w:right w:val="none" w:sz="0" w:space="0" w:color="auto"/>
          </w:divBdr>
          <w:divsChild>
            <w:div w:id="1577667542">
              <w:marLeft w:val="0"/>
              <w:marRight w:val="0"/>
              <w:marTop w:val="0"/>
              <w:marBottom w:val="0"/>
              <w:divBdr>
                <w:top w:val="none" w:sz="0" w:space="0" w:color="auto"/>
                <w:left w:val="none" w:sz="0" w:space="0" w:color="auto"/>
                <w:bottom w:val="none" w:sz="0" w:space="0" w:color="auto"/>
                <w:right w:val="none" w:sz="0" w:space="0" w:color="auto"/>
              </w:divBdr>
            </w:div>
            <w:div w:id="2054889037">
              <w:marLeft w:val="0"/>
              <w:marRight w:val="0"/>
              <w:marTop w:val="0"/>
              <w:marBottom w:val="0"/>
              <w:divBdr>
                <w:top w:val="none" w:sz="0" w:space="0" w:color="auto"/>
                <w:left w:val="none" w:sz="0" w:space="0" w:color="auto"/>
                <w:bottom w:val="none" w:sz="0" w:space="0" w:color="auto"/>
                <w:right w:val="none" w:sz="0" w:space="0" w:color="auto"/>
              </w:divBdr>
            </w:div>
            <w:div w:id="185363752">
              <w:marLeft w:val="0"/>
              <w:marRight w:val="0"/>
              <w:marTop w:val="0"/>
              <w:marBottom w:val="0"/>
              <w:divBdr>
                <w:top w:val="none" w:sz="0" w:space="0" w:color="auto"/>
                <w:left w:val="none" w:sz="0" w:space="0" w:color="auto"/>
                <w:bottom w:val="none" w:sz="0" w:space="0" w:color="auto"/>
                <w:right w:val="none" w:sz="0" w:space="0" w:color="auto"/>
              </w:divBdr>
            </w:div>
            <w:div w:id="1301227418">
              <w:marLeft w:val="0"/>
              <w:marRight w:val="0"/>
              <w:marTop w:val="0"/>
              <w:marBottom w:val="0"/>
              <w:divBdr>
                <w:top w:val="none" w:sz="0" w:space="0" w:color="auto"/>
                <w:left w:val="none" w:sz="0" w:space="0" w:color="auto"/>
                <w:bottom w:val="none" w:sz="0" w:space="0" w:color="auto"/>
                <w:right w:val="none" w:sz="0" w:space="0" w:color="auto"/>
              </w:divBdr>
            </w:div>
            <w:div w:id="1804081406">
              <w:marLeft w:val="0"/>
              <w:marRight w:val="0"/>
              <w:marTop w:val="0"/>
              <w:marBottom w:val="0"/>
              <w:divBdr>
                <w:top w:val="none" w:sz="0" w:space="0" w:color="auto"/>
                <w:left w:val="none" w:sz="0" w:space="0" w:color="auto"/>
                <w:bottom w:val="none" w:sz="0" w:space="0" w:color="auto"/>
                <w:right w:val="none" w:sz="0" w:space="0" w:color="auto"/>
              </w:divBdr>
            </w:div>
            <w:div w:id="2048673701">
              <w:marLeft w:val="0"/>
              <w:marRight w:val="0"/>
              <w:marTop w:val="0"/>
              <w:marBottom w:val="0"/>
              <w:divBdr>
                <w:top w:val="none" w:sz="0" w:space="0" w:color="auto"/>
                <w:left w:val="none" w:sz="0" w:space="0" w:color="auto"/>
                <w:bottom w:val="none" w:sz="0" w:space="0" w:color="auto"/>
                <w:right w:val="none" w:sz="0" w:space="0" w:color="auto"/>
              </w:divBdr>
              <w:divsChild>
                <w:div w:id="1469275271">
                  <w:marLeft w:val="0"/>
                  <w:marRight w:val="0"/>
                  <w:marTop w:val="0"/>
                  <w:marBottom w:val="0"/>
                  <w:divBdr>
                    <w:top w:val="none" w:sz="0" w:space="0" w:color="auto"/>
                    <w:left w:val="none" w:sz="0" w:space="0" w:color="auto"/>
                    <w:bottom w:val="none" w:sz="0" w:space="0" w:color="auto"/>
                    <w:right w:val="none" w:sz="0" w:space="0" w:color="auto"/>
                  </w:divBdr>
                </w:div>
                <w:div w:id="1123883029">
                  <w:marLeft w:val="0"/>
                  <w:marRight w:val="0"/>
                  <w:marTop w:val="0"/>
                  <w:marBottom w:val="0"/>
                  <w:divBdr>
                    <w:top w:val="none" w:sz="0" w:space="0" w:color="auto"/>
                    <w:left w:val="none" w:sz="0" w:space="0" w:color="auto"/>
                    <w:bottom w:val="none" w:sz="0" w:space="0" w:color="auto"/>
                    <w:right w:val="none" w:sz="0" w:space="0" w:color="auto"/>
                  </w:divBdr>
                </w:div>
                <w:div w:id="1850677942">
                  <w:marLeft w:val="0"/>
                  <w:marRight w:val="0"/>
                  <w:marTop w:val="0"/>
                  <w:marBottom w:val="0"/>
                  <w:divBdr>
                    <w:top w:val="none" w:sz="0" w:space="0" w:color="auto"/>
                    <w:left w:val="none" w:sz="0" w:space="0" w:color="auto"/>
                    <w:bottom w:val="none" w:sz="0" w:space="0" w:color="auto"/>
                    <w:right w:val="none" w:sz="0" w:space="0" w:color="auto"/>
                  </w:divBdr>
                </w:div>
                <w:div w:id="1451702918">
                  <w:marLeft w:val="0"/>
                  <w:marRight w:val="0"/>
                  <w:marTop w:val="0"/>
                  <w:marBottom w:val="0"/>
                  <w:divBdr>
                    <w:top w:val="none" w:sz="0" w:space="0" w:color="auto"/>
                    <w:left w:val="none" w:sz="0" w:space="0" w:color="auto"/>
                    <w:bottom w:val="none" w:sz="0" w:space="0" w:color="auto"/>
                    <w:right w:val="none" w:sz="0" w:space="0" w:color="auto"/>
                  </w:divBdr>
                </w:div>
                <w:div w:id="798956819">
                  <w:marLeft w:val="0"/>
                  <w:marRight w:val="0"/>
                  <w:marTop w:val="0"/>
                  <w:marBottom w:val="0"/>
                  <w:divBdr>
                    <w:top w:val="none" w:sz="0" w:space="0" w:color="auto"/>
                    <w:left w:val="none" w:sz="0" w:space="0" w:color="auto"/>
                    <w:bottom w:val="none" w:sz="0" w:space="0" w:color="auto"/>
                    <w:right w:val="none" w:sz="0" w:space="0" w:color="auto"/>
                  </w:divBdr>
                </w:div>
                <w:div w:id="2000188639">
                  <w:marLeft w:val="0"/>
                  <w:marRight w:val="0"/>
                  <w:marTop w:val="0"/>
                  <w:marBottom w:val="0"/>
                  <w:divBdr>
                    <w:top w:val="none" w:sz="0" w:space="0" w:color="auto"/>
                    <w:left w:val="none" w:sz="0" w:space="0" w:color="auto"/>
                    <w:bottom w:val="none" w:sz="0" w:space="0" w:color="auto"/>
                    <w:right w:val="none" w:sz="0" w:space="0" w:color="auto"/>
                  </w:divBdr>
                </w:div>
                <w:div w:id="862092928">
                  <w:marLeft w:val="0"/>
                  <w:marRight w:val="0"/>
                  <w:marTop w:val="0"/>
                  <w:marBottom w:val="0"/>
                  <w:divBdr>
                    <w:top w:val="none" w:sz="0" w:space="0" w:color="auto"/>
                    <w:left w:val="none" w:sz="0" w:space="0" w:color="auto"/>
                    <w:bottom w:val="none" w:sz="0" w:space="0" w:color="auto"/>
                    <w:right w:val="none" w:sz="0" w:space="0" w:color="auto"/>
                  </w:divBdr>
                </w:div>
                <w:div w:id="4993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967828">
      <w:bodyDiv w:val="1"/>
      <w:marLeft w:val="0"/>
      <w:marRight w:val="0"/>
      <w:marTop w:val="0"/>
      <w:marBottom w:val="0"/>
      <w:divBdr>
        <w:top w:val="none" w:sz="0" w:space="0" w:color="auto"/>
        <w:left w:val="none" w:sz="0" w:space="0" w:color="auto"/>
        <w:bottom w:val="none" w:sz="0" w:space="0" w:color="auto"/>
        <w:right w:val="none" w:sz="0" w:space="0" w:color="auto"/>
      </w:divBdr>
      <w:divsChild>
        <w:div w:id="1258751483">
          <w:marLeft w:val="0"/>
          <w:marRight w:val="0"/>
          <w:marTop w:val="0"/>
          <w:marBottom w:val="0"/>
          <w:divBdr>
            <w:top w:val="none" w:sz="0" w:space="0" w:color="auto"/>
            <w:left w:val="none" w:sz="0" w:space="0" w:color="auto"/>
            <w:bottom w:val="none" w:sz="0" w:space="0" w:color="auto"/>
            <w:right w:val="none" w:sz="0" w:space="0" w:color="auto"/>
          </w:divBdr>
          <w:divsChild>
            <w:div w:id="928654267">
              <w:marLeft w:val="0"/>
              <w:marRight w:val="0"/>
              <w:marTop w:val="240"/>
              <w:marBottom w:val="240"/>
              <w:divBdr>
                <w:top w:val="none" w:sz="0" w:space="0" w:color="auto"/>
                <w:left w:val="none" w:sz="0" w:space="0" w:color="auto"/>
                <w:bottom w:val="none" w:sz="0" w:space="0" w:color="auto"/>
                <w:right w:val="none" w:sz="0" w:space="0" w:color="auto"/>
              </w:divBdr>
              <w:divsChild>
                <w:div w:id="16169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1DCCC-5684-45A8-945A-6C304C448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1606</Words>
  <Characters>8835</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Sebastian Mosquera Bernal</dc:creator>
  <cp:lastModifiedBy>Javier Eduardo Figueroa Pulido</cp:lastModifiedBy>
  <cp:revision>3</cp:revision>
  <cp:lastPrinted>2020-10-14T20:10:00Z</cp:lastPrinted>
  <dcterms:created xsi:type="dcterms:W3CDTF">2020-10-14T20:10:00Z</dcterms:created>
  <dcterms:modified xsi:type="dcterms:W3CDTF">2020-10-14T20:10:00Z</dcterms:modified>
</cp:coreProperties>
</file>